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highlight w:val="yellow"/>
        </w:rPr>
      </w:pPr>
    </w:p>
    <w:p>
      <w:pPr>
        <w:rPr>
          <w:highlight w:val="cyan"/>
        </w:rPr>
      </w:pPr>
      <w:bookmarkStart w:id="0" w:name="EB7fd5134b3f9543688ad91a888cd74f55"/>
      <w:bookmarkEnd w:id="0"/>
    </w:p>
    <w:p>
      <w:pPr>
        <w:rPr>
          <w:rFonts w:ascii="宋体" w:hAnsi="宋体"/>
        </w:rPr>
      </w:pPr>
    </w:p>
    <w:p>
      <w:pPr>
        <w:rPr>
          <w:rFonts w:ascii="宋体" w:hAnsi="宋体"/>
          <w:highlight w:val="none"/>
        </w:rPr>
      </w:pPr>
    </w:p>
    <w:p>
      <w:pPr>
        <w:rPr>
          <w:rFonts w:ascii="宋体" w:hAnsi="宋体"/>
          <w:highlight w:val="none"/>
        </w:rPr>
      </w:pPr>
    </w:p>
    <w:p>
      <w:pPr>
        <w:wordWrap w:val="0"/>
        <w:topLinePunct/>
        <w:jc w:val="center"/>
        <w:rPr>
          <w:rFonts w:ascii="宋体" w:hAnsi="宋体"/>
          <w:b/>
          <w:sz w:val="84"/>
          <w:szCs w:val="84"/>
          <w:highlight w:val="none"/>
        </w:rPr>
      </w:pPr>
      <w:r>
        <w:rPr>
          <w:rFonts w:hint="eastAsia" w:ascii="宋体" w:hAnsi="宋体"/>
          <w:b/>
          <w:sz w:val="84"/>
          <w:szCs w:val="84"/>
          <w:highlight w:val="none"/>
        </w:rPr>
        <w:t>招 标 文 件</w:t>
      </w:r>
    </w:p>
    <w:p>
      <w:pPr>
        <w:wordWrap w:val="0"/>
        <w:topLinePunct/>
        <w:jc w:val="center"/>
        <w:rPr>
          <w:rFonts w:ascii="宋体" w:hAnsi="宋体"/>
          <w:b/>
          <w:sz w:val="84"/>
          <w:szCs w:val="84"/>
          <w:highlight w:val="none"/>
        </w:rPr>
      </w:pPr>
    </w:p>
    <w:p>
      <w:pPr>
        <w:pStyle w:val="2"/>
      </w:pPr>
    </w:p>
    <w:p>
      <w:pPr>
        <w:rPr>
          <w:rFonts w:hint="default" w:eastAsia="宋体"/>
          <w:b/>
          <w:sz w:val="32"/>
          <w:szCs w:val="32"/>
          <w:highlight w:val="none"/>
          <w:u w:val="single"/>
          <w:lang w:val="en-US" w:eastAsia="zh-CN"/>
        </w:rPr>
      </w:pPr>
      <w:r>
        <w:rPr>
          <w:rFonts w:hint="eastAsia"/>
          <w:b/>
          <w:color w:val="auto"/>
          <w:sz w:val="32"/>
          <w:szCs w:val="32"/>
          <w:highlight w:val="none"/>
        </w:rPr>
        <w:t>项目编号：</w:t>
      </w:r>
      <w:r>
        <w:rPr>
          <w:rFonts w:hint="eastAsia"/>
          <w:b w:val="0"/>
          <w:bCs/>
          <w:color w:val="auto"/>
          <w:sz w:val="32"/>
          <w:szCs w:val="32"/>
          <w:highlight w:val="none"/>
          <w:u w:val="single"/>
          <w:lang w:val="en-US" w:eastAsia="zh-CN"/>
        </w:rPr>
        <w:t>以四川省政府采购网生成编号为准</w:t>
      </w:r>
    </w:p>
    <w:p>
      <w:pPr>
        <w:rPr>
          <w:b/>
          <w:sz w:val="32"/>
          <w:szCs w:val="32"/>
          <w:highlight w:val="none"/>
          <w:u w:val="single"/>
        </w:rPr>
      </w:pPr>
      <w:r>
        <w:rPr>
          <w:rFonts w:hint="eastAsia"/>
          <w:b/>
          <w:sz w:val="32"/>
          <w:szCs w:val="32"/>
          <w:highlight w:val="none"/>
        </w:rPr>
        <w:t>项目名称：</w:t>
      </w:r>
      <w:r>
        <w:rPr>
          <w:rFonts w:hint="eastAsia"/>
          <w:b w:val="0"/>
          <w:bCs/>
          <w:sz w:val="32"/>
          <w:szCs w:val="32"/>
          <w:highlight w:val="none"/>
          <w:u w:val="single"/>
        </w:rPr>
        <w:t>眉山市退役军人事务系统信息化建设项目</w:t>
      </w:r>
    </w:p>
    <w:p>
      <w:pPr>
        <w:rPr>
          <w:rFonts w:hAnsi="宋体"/>
          <w:b/>
          <w:sz w:val="32"/>
          <w:szCs w:val="32"/>
          <w:highlight w:val="none"/>
        </w:rPr>
      </w:pPr>
      <w:r>
        <w:rPr>
          <w:rFonts w:hint="eastAsia"/>
          <w:b/>
          <w:sz w:val="32"/>
          <w:szCs w:val="32"/>
          <w:highlight w:val="none"/>
        </w:rPr>
        <w:t>采 购 人：</w:t>
      </w:r>
      <w:r>
        <w:rPr>
          <w:rFonts w:hint="eastAsia"/>
          <w:b w:val="0"/>
          <w:bCs/>
          <w:sz w:val="32"/>
          <w:szCs w:val="32"/>
          <w:highlight w:val="none"/>
          <w:u w:val="single"/>
        </w:rPr>
        <w:t>眉山市退役军人事务局</w:t>
      </w:r>
    </w:p>
    <w:p>
      <w:pPr>
        <w:topLinePunct/>
        <w:spacing w:line="360" w:lineRule="auto"/>
        <w:ind w:firstLine="1928" w:firstLineChars="600"/>
        <w:jc w:val="left"/>
        <w:rPr>
          <w:rFonts w:ascii="宋体" w:hAnsi="宋体"/>
          <w:b/>
          <w:sz w:val="32"/>
          <w:szCs w:val="32"/>
          <w:highlight w:val="none"/>
        </w:rPr>
      </w:pPr>
    </w:p>
    <w:p>
      <w:pPr>
        <w:wordWrap w:val="0"/>
        <w:topLinePunct/>
        <w:spacing w:line="360" w:lineRule="auto"/>
        <w:rPr>
          <w:rFonts w:ascii="宋体" w:hAnsi="宋体"/>
          <w:b/>
          <w:sz w:val="32"/>
          <w:szCs w:val="32"/>
          <w:highlight w:val="none"/>
        </w:rPr>
      </w:pPr>
    </w:p>
    <w:p>
      <w:pPr>
        <w:spacing w:line="360" w:lineRule="auto"/>
        <w:jc w:val="center"/>
        <w:rPr>
          <w:rFonts w:hint="eastAsia" w:ascii="宋体" w:hAnsi="宋体" w:eastAsia="宋体"/>
          <w:b/>
          <w:sz w:val="32"/>
          <w:szCs w:val="32"/>
          <w:highlight w:val="none"/>
          <w:lang w:val="en-US" w:eastAsia="zh-CN"/>
        </w:rPr>
      </w:pPr>
      <w:r>
        <w:rPr>
          <w:rFonts w:hint="eastAsia" w:ascii="宋体" w:hAnsi="宋体"/>
          <w:b/>
          <w:sz w:val="32"/>
          <w:szCs w:val="32"/>
          <w:highlight w:val="none"/>
        </w:rPr>
        <w:t>中国·四川·眉山</w:t>
      </w:r>
      <w:r>
        <w:rPr>
          <w:rFonts w:hint="eastAsia" w:ascii="宋体" w:hAnsi="宋体"/>
          <w:b/>
          <w:sz w:val="32"/>
          <w:szCs w:val="32"/>
          <w:highlight w:val="none"/>
          <w:lang w:val="en-US" w:eastAsia="zh-CN"/>
        </w:rPr>
        <w:t>市</w:t>
      </w:r>
    </w:p>
    <w:p>
      <w:pPr>
        <w:spacing w:line="360" w:lineRule="auto"/>
        <w:jc w:val="center"/>
        <w:rPr>
          <w:rFonts w:ascii="宋体" w:hAnsi="宋体"/>
          <w:b/>
          <w:sz w:val="32"/>
          <w:szCs w:val="32"/>
          <w:highlight w:val="none"/>
        </w:rPr>
      </w:pPr>
    </w:p>
    <w:p>
      <w:pPr>
        <w:spacing w:line="360" w:lineRule="auto"/>
        <w:jc w:val="center"/>
        <w:rPr>
          <w:rFonts w:ascii="宋体" w:hAnsi="宋体"/>
          <w:b/>
          <w:sz w:val="32"/>
          <w:szCs w:val="32"/>
          <w:highlight w:val="none"/>
        </w:rPr>
      </w:pPr>
    </w:p>
    <w:p>
      <w:pPr>
        <w:spacing w:line="360" w:lineRule="auto"/>
        <w:jc w:val="center"/>
        <w:rPr>
          <w:rFonts w:ascii="宋体" w:hAnsi="宋体"/>
          <w:b/>
          <w:sz w:val="32"/>
          <w:szCs w:val="32"/>
          <w:highlight w:val="none"/>
        </w:rPr>
      </w:pPr>
    </w:p>
    <w:p>
      <w:pPr>
        <w:spacing w:line="360" w:lineRule="auto"/>
        <w:jc w:val="center"/>
        <w:rPr>
          <w:rFonts w:ascii="宋体" w:hAnsi="宋体"/>
          <w:b/>
          <w:sz w:val="32"/>
          <w:szCs w:val="32"/>
          <w:highlight w:val="none"/>
        </w:rPr>
      </w:pPr>
    </w:p>
    <w:tbl>
      <w:tblPr>
        <w:tblStyle w:val="19"/>
        <w:tblW w:w="8522" w:type="dxa"/>
        <w:tblInd w:w="0" w:type="dxa"/>
        <w:tblLayout w:type="fixed"/>
        <w:tblCellMar>
          <w:top w:w="0" w:type="dxa"/>
          <w:left w:w="108" w:type="dxa"/>
          <w:bottom w:w="0" w:type="dxa"/>
          <w:right w:w="108" w:type="dxa"/>
        </w:tblCellMar>
      </w:tblPr>
      <w:tblGrid>
        <w:gridCol w:w="5920"/>
        <w:gridCol w:w="2602"/>
      </w:tblGrid>
      <w:tr>
        <w:tblPrEx>
          <w:tblCellMar>
            <w:top w:w="0" w:type="dxa"/>
            <w:left w:w="108" w:type="dxa"/>
            <w:bottom w:w="0" w:type="dxa"/>
            <w:right w:w="108" w:type="dxa"/>
          </w:tblCellMar>
        </w:tblPrEx>
        <w:tc>
          <w:tcPr>
            <w:tcW w:w="5920" w:type="dxa"/>
            <w:shd w:val="clear" w:color="auto" w:fill="auto"/>
          </w:tcPr>
          <w:p>
            <w:pPr>
              <w:ind w:firstLine="1110" w:firstLineChars="395"/>
              <w:jc w:val="left"/>
              <w:rPr>
                <w:b/>
                <w:color w:val="auto"/>
                <w:sz w:val="28"/>
                <w:szCs w:val="28"/>
                <w:highlight w:val="none"/>
              </w:rPr>
            </w:pPr>
            <w:r>
              <w:rPr>
                <w:rFonts w:hint="eastAsia"/>
                <w:b/>
                <w:color w:val="auto"/>
                <w:sz w:val="28"/>
                <w:szCs w:val="28"/>
                <w:highlight w:val="none"/>
              </w:rPr>
              <w:t>眉山市退役军人事务局</w:t>
            </w:r>
          </w:p>
        </w:tc>
        <w:tc>
          <w:tcPr>
            <w:tcW w:w="2602" w:type="dxa"/>
            <w:vMerge w:val="restart"/>
            <w:shd w:val="clear" w:color="auto" w:fill="auto"/>
            <w:vAlign w:val="center"/>
          </w:tcPr>
          <w:p>
            <w:pPr>
              <w:ind w:firstLine="157" w:firstLineChars="49"/>
              <w:jc w:val="left"/>
              <w:rPr>
                <w:rFonts w:ascii="宋体" w:hAnsi="宋体"/>
                <w:b/>
                <w:sz w:val="32"/>
                <w:szCs w:val="32"/>
                <w:highlight w:val="none"/>
              </w:rPr>
            </w:pPr>
            <w:r>
              <w:rPr>
                <w:rFonts w:hint="eastAsia" w:ascii="宋体" w:hAnsi="宋体"/>
                <w:b/>
                <w:sz w:val="32"/>
                <w:szCs w:val="32"/>
                <w:highlight w:val="none"/>
              </w:rPr>
              <w:t>共同编制</w:t>
            </w:r>
          </w:p>
        </w:tc>
      </w:tr>
      <w:tr>
        <w:tblPrEx>
          <w:tblCellMar>
            <w:top w:w="0" w:type="dxa"/>
            <w:left w:w="108" w:type="dxa"/>
            <w:bottom w:w="0" w:type="dxa"/>
            <w:right w:w="108" w:type="dxa"/>
          </w:tblCellMar>
        </w:tblPrEx>
        <w:tc>
          <w:tcPr>
            <w:tcW w:w="5920" w:type="dxa"/>
            <w:shd w:val="clear" w:color="auto" w:fill="auto"/>
          </w:tcPr>
          <w:p>
            <w:pPr>
              <w:ind w:firstLine="1110" w:firstLineChars="395"/>
              <w:jc w:val="left"/>
              <w:rPr>
                <w:rFonts w:hint="eastAsia" w:eastAsia="宋体"/>
                <w:b/>
                <w:color w:val="auto"/>
                <w:sz w:val="28"/>
                <w:szCs w:val="28"/>
                <w:highlight w:val="none"/>
                <w:lang w:eastAsia="zh-CN"/>
              </w:rPr>
            </w:pPr>
            <w:r>
              <w:rPr>
                <w:rFonts w:hint="eastAsia"/>
                <w:b/>
                <w:color w:val="auto"/>
                <w:sz w:val="28"/>
                <w:szCs w:val="28"/>
                <w:highlight w:val="none"/>
                <w:lang w:eastAsia="zh-CN"/>
              </w:rPr>
              <w:t>四川中岚工程项目管理有限公司</w:t>
            </w:r>
          </w:p>
        </w:tc>
        <w:tc>
          <w:tcPr>
            <w:tcW w:w="2602" w:type="dxa"/>
            <w:vMerge w:val="continue"/>
            <w:shd w:val="clear" w:color="auto" w:fill="auto"/>
          </w:tcPr>
          <w:p>
            <w:pPr>
              <w:jc w:val="left"/>
              <w:rPr>
                <w:b/>
                <w:sz w:val="32"/>
                <w:szCs w:val="32"/>
                <w:highlight w:val="none"/>
              </w:rPr>
            </w:pPr>
          </w:p>
        </w:tc>
      </w:tr>
    </w:tbl>
    <w:p>
      <w:pPr>
        <w:rPr>
          <w:rFonts w:ascii="宋体" w:hAnsi="宋体"/>
          <w:highlight w:val="none"/>
        </w:rPr>
      </w:pPr>
    </w:p>
    <w:p>
      <w:pPr>
        <w:rPr>
          <w:highlight w:val="none"/>
        </w:rPr>
      </w:pPr>
      <w:bookmarkStart w:id="1" w:name="EB496caee52f40455f861d3e44a091c43c"/>
      <w:bookmarkEnd w:id="1"/>
    </w:p>
    <w:p>
      <w:pPr>
        <w:ind w:firstLine="157" w:firstLineChars="49"/>
        <w:jc w:val="center"/>
        <w:rPr>
          <w:highlight w:val="none"/>
        </w:rPr>
      </w:pPr>
      <w:r>
        <w:rPr>
          <w:rFonts w:hint="eastAsia" w:ascii="宋体" w:hAnsi="宋体"/>
          <w:b/>
          <w:sz w:val="32"/>
          <w:szCs w:val="32"/>
          <w:highlight w:val="none"/>
        </w:rPr>
        <w:t>2021年  月</w:t>
      </w:r>
    </w:p>
    <w:p>
      <w:pPr>
        <w:rPr>
          <w:highlight w:val="none"/>
        </w:rPr>
      </w:pPr>
    </w:p>
    <w:p>
      <w:pPr>
        <w:pStyle w:val="40"/>
        <w:spacing w:before="0"/>
        <w:ind w:left="105" w:leftChars="50"/>
        <w:jc w:val="center"/>
        <w:rPr>
          <w:rFonts w:ascii="宋体" w:hAnsi="宋体"/>
          <w:color w:val="auto"/>
          <w:highlight w:val="none"/>
        </w:rPr>
      </w:pPr>
      <w:r>
        <w:rPr>
          <w:rFonts w:ascii="宋体" w:hAnsi="宋体"/>
          <w:color w:val="auto"/>
          <w:highlight w:val="none"/>
          <w:lang w:val="zh-CN"/>
        </w:rPr>
        <w:t>目录</w:t>
      </w:r>
    </w:p>
    <w:p>
      <w:pPr>
        <w:pStyle w:val="15"/>
        <w:tabs>
          <w:tab w:val="right" w:leader="dot" w:pos="8296"/>
        </w:tabs>
        <w:rPr>
          <w:rFonts w:asciiTheme="minorHAnsi" w:hAnsiTheme="minorHAnsi" w:eastAsiaTheme="minorEastAsia" w:cstheme="minorBidi"/>
          <w:sz w:val="28"/>
          <w:szCs w:val="32"/>
          <w:highlight w:val="none"/>
        </w:rPr>
      </w:pPr>
      <w:r>
        <w:rPr>
          <w:rFonts w:ascii="宋体" w:hAnsi="宋体"/>
          <w:sz w:val="28"/>
          <w:szCs w:val="32"/>
          <w:highlight w:val="none"/>
        </w:rPr>
        <w:fldChar w:fldCharType="begin"/>
      </w:r>
      <w:r>
        <w:rPr>
          <w:rFonts w:ascii="宋体" w:hAnsi="宋体"/>
          <w:sz w:val="28"/>
          <w:szCs w:val="32"/>
          <w:highlight w:val="none"/>
        </w:rPr>
        <w:instrText xml:space="preserve"> TOC \o "1-3" \u </w:instrText>
      </w:r>
      <w:r>
        <w:rPr>
          <w:rFonts w:ascii="宋体" w:hAnsi="宋体"/>
          <w:sz w:val="28"/>
          <w:szCs w:val="32"/>
          <w:highlight w:val="none"/>
        </w:rPr>
        <w:fldChar w:fldCharType="separate"/>
      </w:r>
      <w:r>
        <w:rPr>
          <w:rFonts w:hint="eastAsia"/>
          <w:sz w:val="28"/>
          <w:szCs w:val="32"/>
          <w:highlight w:val="none"/>
        </w:rPr>
        <w:t>第一章投标邀请</w:t>
      </w:r>
      <w:r>
        <w:rPr>
          <w:sz w:val="28"/>
          <w:szCs w:val="32"/>
          <w:highlight w:val="none"/>
        </w:rPr>
        <w:tab/>
      </w:r>
      <w:r>
        <w:rPr>
          <w:sz w:val="28"/>
          <w:szCs w:val="32"/>
          <w:highlight w:val="none"/>
        </w:rPr>
        <w:fldChar w:fldCharType="begin"/>
      </w:r>
      <w:r>
        <w:rPr>
          <w:sz w:val="28"/>
          <w:szCs w:val="32"/>
          <w:highlight w:val="none"/>
        </w:rPr>
        <w:instrText xml:space="preserve"> PAGEREF _Toc78978669 \h </w:instrText>
      </w:r>
      <w:r>
        <w:rPr>
          <w:sz w:val="28"/>
          <w:szCs w:val="32"/>
          <w:highlight w:val="none"/>
        </w:rPr>
        <w:fldChar w:fldCharType="separate"/>
      </w:r>
      <w:r>
        <w:rPr>
          <w:sz w:val="28"/>
          <w:szCs w:val="32"/>
          <w:highlight w:val="none"/>
        </w:rPr>
        <w:t>- 4 -</w:t>
      </w:r>
      <w:r>
        <w:rPr>
          <w:sz w:val="28"/>
          <w:szCs w:val="32"/>
          <w:highlight w:val="none"/>
        </w:rPr>
        <w:fldChar w:fldCharType="end"/>
      </w:r>
    </w:p>
    <w:p>
      <w:pPr>
        <w:pStyle w:val="15"/>
        <w:tabs>
          <w:tab w:val="right" w:leader="dot" w:pos="8296"/>
        </w:tabs>
        <w:rPr>
          <w:rFonts w:asciiTheme="minorHAnsi" w:hAnsiTheme="minorHAnsi" w:eastAsiaTheme="minorEastAsia" w:cstheme="minorBidi"/>
          <w:sz w:val="28"/>
          <w:szCs w:val="32"/>
          <w:highlight w:val="none"/>
        </w:rPr>
      </w:pPr>
      <w:r>
        <w:rPr>
          <w:rFonts w:hint="eastAsia" w:ascii="宋体" w:hAnsi="宋体"/>
          <w:sz w:val="28"/>
          <w:szCs w:val="32"/>
          <w:highlight w:val="none"/>
        </w:rPr>
        <w:t>第二章</w:t>
      </w:r>
      <w:r>
        <w:rPr>
          <w:rFonts w:ascii="宋体" w:hAnsi="宋体"/>
          <w:sz w:val="28"/>
          <w:szCs w:val="32"/>
          <w:highlight w:val="none"/>
        </w:rPr>
        <w:t xml:space="preserve">  </w:t>
      </w:r>
      <w:r>
        <w:rPr>
          <w:rFonts w:hint="eastAsia" w:ascii="宋体" w:hAnsi="宋体"/>
          <w:sz w:val="28"/>
          <w:szCs w:val="32"/>
          <w:highlight w:val="none"/>
        </w:rPr>
        <w:t>投标人须知</w:t>
      </w:r>
      <w:r>
        <w:rPr>
          <w:sz w:val="28"/>
          <w:szCs w:val="32"/>
          <w:highlight w:val="none"/>
        </w:rPr>
        <w:tab/>
      </w:r>
      <w:r>
        <w:rPr>
          <w:sz w:val="28"/>
          <w:szCs w:val="32"/>
          <w:highlight w:val="none"/>
        </w:rPr>
        <w:fldChar w:fldCharType="begin"/>
      </w:r>
      <w:r>
        <w:rPr>
          <w:sz w:val="28"/>
          <w:szCs w:val="32"/>
          <w:highlight w:val="none"/>
        </w:rPr>
        <w:instrText xml:space="preserve"> PAGEREF _Toc78978670 \h </w:instrText>
      </w:r>
      <w:r>
        <w:rPr>
          <w:sz w:val="28"/>
          <w:szCs w:val="32"/>
          <w:highlight w:val="none"/>
        </w:rPr>
        <w:fldChar w:fldCharType="separate"/>
      </w:r>
      <w:r>
        <w:rPr>
          <w:sz w:val="28"/>
          <w:szCs w:val="32"/>
          <w:highlight w:val="none"/>
        </w:rPr>
        <w:t>- 7 -</w:t>
      </w:r>
      <w:r>
        <w:rPr>
          <w:sz w:val="28"/>
          <w:szCs w:val="32"/>
          <w:highlight w:val="none"/>
        </w:rPr>
        <w:fldChar w:fldCharType="end"/>
      </w:r>
    </w:p>
    <w:p>
      <w:pPr>
        <w:pStyle w:val="15"/>
        <w:tabs>
          <w:tab w:val="right" w:leader="dot" w:pos="8296"/>
        </w:tabs>
        <w:rPr>
          <w:rFonts w:asciiTheme="minorHAnsi" w:hAnsiTheme="minorHAnsi" w:eastAsiaTheme="minorEastAsia" w:cstheme="minorBidi"/>
          <w:sz w:val="28"/>
          <w:szCs w:val="32"/>
          <w:highlight w:val="none"/>
        </w:rPr>
      </w:pPr>
      <w:r>
        <w:rPr>
          <w:rFonts w:hint="eastAsia" w:ascii="宋体" w:hAnsi="宋体"/>
          <w:sz w:val="28"/>
          <w:szCs w:val="32"/>
          <w:highlight w:val="none"/>
        </w:rPr>
        <w:t>第三章</w:t>
      </w:r>
      <w:r>
        <w:rPr>
          <w:rFonts w:ascii="宋体" w:hAnsi="宋体"/>
          <w:sz w:val="28"/>
          <w:szCs w:val="32"/>
          <w:highlight w:val="none"/>
        </w:rPr>
        <w:t xml:space="preserve">  </w:t>
      </w:r>
      <w:r>
        <w:rPr>
          <w:rFonts w:hint="eastAsia" w:ascii="宋体" w:hAnsi="宋体"/>
          <w:sz w:val="28"/>
          <w:szCs w:val="32"/>
          <w:highlight w:val="none"/>
        </w:rPr>
        <w:t>投标文件格式</w:t>
      </w:r>
      <w:r>
        <w:rPr>
          <w:sz w:val="28"/>
          <w:szCs w:val="32"/>
          <w:highlight w:val="none"/>
        </w:rPr>
        <w:tab/>
      </w:r>
      <w:r>
        <w:rPr>
          <w:sz w:val="28"/>
          <w:szCs w:val="32"/>
          <w:highlight w:val="none"/>
        </w:rPr>
        <w:fldChar w:fldCharType="begin"/>
      </w:r>
      <w:r>
        <w:rPr>
          <w:sz w:val="28"/>
          <w:szCs w:val="32"/>
          <w:highlight w:val="none"/>
        </w:rPr>
        <w:instrText xml:space="preserve"> PAGEREF _Toc78978671 \h </w:instrText>
      </w:r>
      <w:r>
        <w:rPr>
          <w:sz w:val="28"/>
          <w:szCs w:val="32"/>
          <w:highlight w:val="none"/>
        </w:rPr>
        <w:fldChar w:fldCharType="separate"/>
      </w:r>
      <w:r>
        <w:rPr>
          <w:sz w:val="28"/>
          <w:szCs w:val="32"/>
          <w:highlight w:val="none"/>
        </w:rPr>
        <w:t>- 25 -</w:t>
      </w:r>
      <w:r>
        <w:rPr>
          <w:sz w:val="28"/>
          <w:szCs w:val="32"/>
          <w:highlight w:val="none"/>
        </w:rPr>
        <w:fldChar w:fldCharType="end"/>
      </w:r>
    </w:p>
    <w:p>
      <w:pPr>
        <w:pStyle w:val="15"/>
        <w:tabs>
          <w:tab w:val="right" w:leader="dot" w:pos="8296"/>
        </w:tabs>
        <w:rPr>
          <w:rFonts w:asciiTheme="minorHAnsi" w:hAnsiTheme="minorHAnsi" w:eastAsiaTheme="minorEastAsia" w:cstheme="minorBidi"/>
          <w:sz w:val="28"/>
          <w:szCs w:val="32"/>
          <w:highlight w:val="none"/>
        </w:rPr>
      </w:pPr>
      <w:r>
        <w:rPr>
          <w:rFonts w:hint="eastAsia" w:ascii="宋体" w:hAnsi="宋体"/>
          <w:sz w:val="28"/>
          <w:szCs w:val="32"/>
          <w:highlight w:val="none"/>
        </w:rPr>
        <w:t>第四章</w:t>
      </w:r>
      <w:r>
        <w:rPr>
          <w:rFonts w:ascii="宋体" w:hAnsi="宋体"/>
          <w:sz w:val="28"/>
          <w:szCs w:val="32"/>
          <w:highlight w:val="none"/>
        </w:rPr>
        <w:t xml:space="preserve">  </w:t>
      </w:r>
      <w:r>
        <w:rPr>
          <w:rFonts w:hint="eastAsia" w:ascii="宋体" w:hAnsi="宋体"/>
          <w:sz w:val="28"/>
          <w:szCs w:val="32"/>
          <w:highlight w:val="none"/>
        </w:rPr>
        <w:t>招标项目技术、服务及其他要求</w:t>
      </w:r>
      <w:r>
        <w:rPr>
          <w:sz w:val="28"/>
          <w:szCs w:val="32"/>
          <w:highlight w:val="none"/>
        </w:rPr>
        <w:tab/>
      </w:r>
      <w:r>
        <w:rPr>
          <w:sz w:val="28"/>
          <w:szCs w:val="32"/>
          <w:highlight w:val="none"/>
        </w:rPr>
        <w:fldChar w:fldCharType="begin"/>
      </w:r>
      <w:r>
        <w:rPr>
          <w:sz w:val="28"/>
          <w:szCs w:val="32"/>
          <w:highlight w:val="none"/>
        </w:rPr>
        <w:instrText xml:space="preserve"> PAGEREF _Toc78978672 \h </w:instrText>
      </w:r>
      <w:r>
        <w:rPr>
          <w:sz w:val="28"/>
          <w:szCs w:val="32"/>
          <w:highlight w:val="none"/>
        </w:rPr>
        <w:fldChar w:fldCharType="separate"/>
      </w:r>
      <w:r>
        <w:rPr>
          <w:sz w:val="28"/>
          <w:szCs w:val="32"/>
          <w:highlight w:val="none"/>
        </w:rPr>
        <w:t>- 44 -</w:t>
      </w:r>
      <w:r>
        <w:rPr>
          <w:sz w:val="28"/>
          <w:szCs w:val="32"/>
          <w:highlight w:val="none"/>
        </w:rPr>
        <w:fldChar w:fldCharType="end"/>
      </w:r>
    </w:p>
    <w:p>
      <w:pPr>
        <w:pStyle w:val="15"/>
        <w:tabs>
          <w:tab w:val="right" w:leader="dot" w:pos="8296"/>
        </w:tabs>
        <w:rPr>
          <w:rFonts w:asciiTheme="minorHAnsi" w:hAnsiTheme="minorHAnsi" w:eastAsiaTheme="minorEastAsia" w:cstheme="minorBidi"/>
          <w:sz w:val="28"/>
          <w:szCs w:val="32"/>
          <w:highlight w:val="none"/>
        </w:rPr>
      </w:pPr>
      <w:r>
        <w:rPr>
          <w:rFonts w:hint="eastAsia" w:ascii="宋体" w:hAnsi="宋体"/>
          <w:sz w:val="28"/>
          <w:szCs w:val="32"/>
          <w:highlight w:val="none"/>
        </w:rPr>
        <w:t>第五章</w:t>
      </w:r>
      <w:r>
        <w:rPr>
          <w:rFonts w:ascii="宋体" w:hAnsi="宋体"/>
          <w:sz w:val="28"/>
          <w:szCs w:val="32"/>
          <w:highlight w:val="none"/>
        </w:rPr>
        <w:t xml:space="preserve">  </w:t>
      </w:r>
      <w:r>
        <w:rPr>
          <w:rFonts w:hint="eastAsia" w:ascii="宋体" w:hAnsi="宋体"/>
          <w:sz w:val="28"/>
          <w:szCs w:val="32"/>
          <w:highlight w:val="none"/>
        </w:rPr>
        <w:t>评标办法</w:t>
      </w:r>
      <w:r>
        <w:rPr>
          <w:sz w:val="28"/>
          <w:szCs w:val="32"/>
          <w:highlight w:val="none"/>
        </w:rPr>
        <w:tab/>
      </w:r>
      <w:r>
        <w:rPr>
          <w:sz w:val="28"/>
          <w:szCs w:val="32"/>
          <w:highlight w:val="none"/>
        </w:rPr>
        <w:fldChar w:fldCharType="begin"/>
      </w:r>
      <w:r>
        <w:rPr>
          <w:sz w:val="28"/>
          <w:szCs w:val="32"/>
          <w:highlight w:val="none"/>
        </w:rPr>
        <w:instrText xml:space="preserve"> PAGEREF _Toc78978673 \h </w:instrText>
      </w:r>
      <w:r>
        <w:rPr>
          <w:sz w:val="28"/>
          <w:szCs w:val="32"/>
          <w:highlight w:val="none"/>
        </w:rPr>
        <w:fldChar w:fldCharType="separate"/>
      </w:r>
      <w:r>
        <w:rPr>
          <w:sz w:val="28"/>
          <w:szCs w:val="32"/>
          <w:highlight w:val="none"/>
        </w:rPr>
        <w:t>- 108 -</w:t>
      </w:r>
      <w:r>
        <w:rPr>
          <w:sz w:val="28"/>
          <w:szCs w:val="32"/>
          <w:highlight w:val="none"/>
        </w:rPr>
        <w:fldChar w:fldCharType="end"/>
      </w:r>
    </w:p>
    <w:p>
      <w:pPr>
        <w:pStyle w:val="15"/>
        <w:tabs>
          <w:tab w:val="right" w:leader="dot" w:pos="8296"/>
        </w:tabs>
        <w:rPr>
          <w:rFonts w:asciiTheme="minorHAnsi" w:hAnsiTheme="minorHAnsi" w:eastAsiaTheme="minorEastAsia" w:cstheme="minorBidi"/>
          <w:sz w:val="28"/>
          <w:szCs w:val="32"/>
          <w:highlight w:val="none"/>
        </w:rPr>
      </w:pPr>
      <w:r>
        <w:rPr>
          <w:rFonts w:hint="eastAsia" w:ascii="宋体" w:hAnsi="宋体"/>
          <w:sz w:val="28"/>
          <w:szCs w:val="32"/>
          <w:highlight w:val="none"/>
        </w:rPr>
        <w:t>第六章</w:t>
      </w:r>
      <w:r>
        <w:rPr>
          <w:rFonts w:ascii="宋体" w:hAnsi="宋体"/>
          <w:sz w:val="28"/>
          <w:szCs w:val="32"/>
          <w:highlight w:val="none"/>
        </w:rPr>
        <w:t xml:space="preserve">  </w:t>
      </w:r>
      <w:r>
        <w:rPr>
          <w:rFonts w:hint="eastAsia" w:ascii="宋体" w:hAnsi="宋体"/>
          <w:sz w:val="28"/>
          <w:szCs w:val="32"/>
          <w:highlight w:val="none"/>
        </w:rPr>
        <w:t>政府采购合同（样例）</w:t>
      </w:r>
      <w:r>
        <w:rPr>
          <w:sz w:val="28"/>
          <w:szCs w:val="32"/>
          <w:highlight w:val="none"/>
        </w:rPr>
        <w:tab/>
      </w:r>
      <w:r>
        <w:rPr>
          <w:sz w:val="28"/>
          <w:szCs w:val="32"/>
          <w:highlight w:val="none"/>
        </w:rPr>
        <w:fldChar w:fldCharType="begin"/>
      </w:r>
      <w:r>
        <w:rPr>
          <w:sz w:val="28"/>
          <w:szCs w:val="32"/>
          <w:highlight w:val="none"/>
        </w:rPr>
        <w:instrText xml:space="preserve"> PAGEREF _Toc78978674 \h </w:instrText>
      </w:r>
      <w:r>
        <w:rPr>
          <w:sz w:val="28"/>
          <w:szCs w:val="32"/>
          <w:highlight w:val="none"/>
        </w:rPr>
        <w:fldChar w:fldCharType="separate"/>
      </w:r>
      <w:r>
        <w:rPr>
          <w:sz w:val="28"/>
          <w:szCs w:val="32"/>
          <w:highlight w:val="none"/>
        </w:rPr>
        <w:t>- 118 -</w:t>
      </w:r>
      <w:r>
        <w:rPr>
          <w:sz w:val="28"/>
          <w:szCs w:val="32"/>
          <w:highlight w:val="none"/>
        </w:rPr>
        <w:fldChar w:fldCharType="end"/>
      </w:r>
    </w:p>
    <w:p>
      <w:pPr>
        <w:widowControl/>
        <w:jc w:val="center"/>
        <w:rPr>
          <w:rFonts w:ascii="宋体" w:hAnsi="宋体"/>
          <w:b/>
          <w:sz w:val="32"/>
          <w:szCs w:val="32"/>
          <w:highlight w:val="none"/>
        </w:rPr>
      </w:pPr>
      <w:r>
        <w:rPr>
          <w:rFonts w:ascii="宋体" w:hAnsi="宋体"/>
          <w:sz w:val="28"/>
          <w:szCs w:val="32"/>
          <w:highlight w:val="none"/>
        </w:rPr>
        <w:fldChar w:fldCharType="end"/>
      </w:r>
      <w:r>
        <w:rPr>
          <w:rFonts w:ascii="宋体" w:hAnsi="宋体"/>
          <w:b/>
          <w:sz w:val="28"/>
          <w:szCs w:val="32"/>
          <w:highlight w:val="none"/>
        </w:rPr>
        <w:br w:type="page"/>
      </w:r>
      <w:r>
        <w:rPr>
          <w:rFonts w:hint="eastAsia" w:ascii="宋体" w:hAnsi="宋体"/>
          <w:b/>
          <w:sz w:val="32"/>
          <w:szCs w:val="32"/>
          <w:highlight w:val="none"/>
        </w:rPr>
        <w:t>“政采贷”业务</w:t>
      </w:r>
    </w:p>
    <w:p>
      <w:pPr>
        <w:widowControl/>
        <w:spacing w:line="500" w:lineRule="exact"/>
        <w:ind w:firstLine="480" w:firstLineChars="200"/>
        <w:jc w:val="left"/>
        <w:rPr>
          <w:rFonts w:asciiTheme="minorEastAsia" w:hAnsiTheme="minorEastAsia" w:eastAsiaTheme="minorEastAsia"/>
          <w:sz w:val="24"/>
          <w:szCs w:val="24"/>
          <w:highlight w:val="none"/>
        </w:rPr>
      </w:pPr>
      <w:r>
        <w:rPr>
          <w:rFonts w:asciiTheme="minorEastAsia" w:hAnsiTheme="minorEastAsia" w:eastAsiaTheme="minorEastAsia"/>
          <w:sz w:val="24"/>
          <w:szCs w:val="24"/>
          <w:highlight w:val="none"/>
        </w:rPr>
        <w:t>根据《四川省财政厅关于推进四川省政府采购供应商信用融资工作的通知》（ 川财采[2018]123 号文）的通知，为助力解决政府采购中标、成交供应商资金不足、融资难、融资贵的问题，有融资需求的供应商可根据四川政府采购网公示的银行及其“政采贷”产品，自行选择符合自身情况的“政采贷”银行及其产品，凭中标（成交）通知书向银行提出贷款意向申请（详细要求及流程见“川财采[2018]123 号文”）。</w:t>
      </w:r>
    </w:p>
    <w:tbl>
      <w:tblPr>
        <w:tblStyle w:val="19"/>
        <w:tblW w:w="8053"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3547"/>
        <w:gridCol w:w="450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8053" w:type="dxa"/>
            <w:gridSpan w:val="2"/>
            <w:tcBorders>
              <w:top w:val="single" w:color="auto" w:sz="4" w:space="0"/>
              <w:left w:val="single" w:color="auto" w:sz="4" w:space="0"/>
              <w:bottom w:val="single" w:color="auto" w:sz="4" w:space="0"/>
              <w:right w:val="single" w:color="auto" w:sz="4" w:space="0"/>
            </w:tcBorders>
            <w:vAlign w:val="center"/>
          </w:tcPr>
          <w:p>
            <w:pPr>
              <w:widowControl/>
              <w:ind w:firstLine="482" w:firstLineChars="200"/>
              <w:jc w:val="center"/>
              <w:rPr>
                <w:rFonts w:asciiTheme="minorEastAsia" w:hAnsiTheme="minorEastAsia" w:eastAsiaTheme="minorEastAsia"/>
                <w:b/>
                <w:sz w:val="24"/>
                <w:szCs w:val="24"/>
                <w:highlight w:val="none"/>
              </w:rPr>
            </w:pPr>
            <w:r>
              <w:rPr>
                <w:rFonts w:asciiTheme="minorEastAsia" w:hAnsiTheme="minorEastAsia" w:eastAsiaTheme="minorEastAsia"/>
                <w:b/>
                <w:sz w:val="24"/>
                <w:szCs w:val="24"/>
                <w:highlight w:val="none"/>
              </w:rPr>
              <w:t>开展“政采贷” 业务的银行名单（排名不分先后）</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67" w:hRule="exact"/>
          <w:jc w:val="center"/>
        </w:trPr>
        <w:tc>
          <w:tcPr>
            <w:tcW w:w="3547" w:type="dxa"/>
            <w:tcBorders>
              <w:top w:val="single" w:color="auto" w:sz="4" w:space="0"/>
              <w:left w:val="single" w:color="auto" w:sz="4" w:space="0"/>
              <w:bottom w:val="single" w:color="auto" w:sz="4" w:space="0"/>
              <w:right w:val="single" w:color="auto" w:sz="4" w:space="0"/>
            </w:tcBorders>
            <w:vAlign w:val="center"/>
          </w:tcPr>
          <w:p>
            <w:pPr>
              <w:widowControl/>
              <w:spacing w:line="400" w:lineRule="exact"/>
              <w:ind w:firstLine="480" w:firstLineChars="200"/>
              <w:jc w:val="left"/>
              <w:rPr>
                <w:rFonts w:asciiTheme="minorEastAsia" w:hAnsiTheme="minorEastAsia" w:eastAsiaTheme="minorEastAsia"/>
                <w:sz w:val="24"/>
                <w:szCs w:val="24"/>
                <w:highlight w:val="none"/>
              </w:rPr>
            </w:pPr>
            <w:r>
              <w:rPr>
                <w:rFonts w:asciiTheme="minorEastAsia" w:hAnsiTheme="minorEastAsia" w:eastAsiaTheme="minorEastAsia"/>
                <w:sz w:val="24"/>
                <w:szCs w:val="24"/>
                <w:highlight w:val="none"/>
              </w:rPr>
              <w:t xml:space="preserve">中国建设银行四川省分行 </w:t>
            </w:r>
          </w:p>
        </w:tc>
        <w:tc>
          <w:tcPr>
            <w:tcW w:w="450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ind w:firstLine="480" w:firstLineChars="200"/>
              <w:jc w:val="left"/>
              <w:rPr>
                <w:rFonts w:asciiTheme="minorEastAsia" w:hAnsiTheme="minorEastAsia" w:eastAsiaTheme="minorEastAsia"/>
                <w:sz w:val="24"/>
                <w:szCs w:val="24"/>
                <w:highlight w:val="none"/>
              </w:rPr>
            </w:pPr>
            <w:r>
              <w:rPr>
                <w:rFonts w:asciiTheme="minorEastAsia" w:hAnsiTheme="minorEastAsia" w:eastAsiaTheme="minorEastAsia"/>
                <w:sz w:val="24"/>
                <w:szCs w:val="24"/>
                <w:highlight w:val="none"/>
              </w:rPr>
              <w:t>平安银行股份有限公司成都分行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31" w:hRule="exact"/>
          <w:jc w:val="center"/>
        </w:trPr>
        <w:tc>
          <w:tcPr>
            <w:tcW w:w="3547" w:type="dxa"/>
            <w:tcBorders>
              <w:top w:val="single" w:color="auto" w:sz="4" w:space="0"/>
              <w:left w:val="single" w:color="auto" w:sz="4" w:space="0"/>
              <w:bottom w:val="single" w:color="auto" w:sz="4" w:space="0"/>
              <w:right w:val="single" w:color="auto" w:sz="4" w:space="0"/>
            </w:tcBorders>
            <w:vAlign w:val="center"/>
          </w:tcPr>
          <w:p>
            <w:pPr>
              <w:widowControl/>
              <w:spacing w:line="400" w:lineRule="exact"/>
              <w:ind w:firstLine="480" w:firstLineChars="200"/>
              <w:jc w:val="left"/>
              <w:rPr>
                <w:rFonts w:asciiTheme="minorEastAsia" w:hAnsiTheme="minorEastAsia" w:eastAsiaTheme="minorEastAsia"/>
                <w:sz w:val="24"/>
                <w:szCs w:val="24"/>
                <w:highlight w:val="none"/>
              </w:rPr>
            </w:pPr>
            <w:r>
              <w:rPr>
                <w:rFonts w:asciiTheme="minorEastAsia" w:hAnsiTheme="minorEastAsia" w:eastAsiaTheme="minorEastAsia"/>
                <w:sz w:val="24"/>
                <w:szCs w:val="24"/>
                <w:highlight w:val="none"/>
              </w:rPr>
              <w:t xml:space="preserve">中国工商银行四川省分行 </w:t>
            </w:r>
          </w:p>
        </w:tc>
        <w:tc>
          <w:tcPr>
            <w:tcW w:w="450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ind w:firstLine="480" w:firstLineChars="200"/>
              <w:jc w:val="left"/>
              <w:rPr>
                <w:rFonts w:asciiTheme="minorEastAsia" w:hAnsiTheme="minorEastAsia" w:eastAsiaTheme="minorEastAsia"/>
                <w:sz w:val="24"/>
                <w:szCs w:val="24"/>
                <w:highlight w:val="none"/>
              </w:rPr>
            </w:pPr>
            <w:r>
              <w:rPr>
                <w:rFonts w:asciiTheme="minorEastAsia" w:hAnsiTheme="minorEastAsia" w:eastAsiaTheme="minorEastAsia"/>
                <w:sz w:val="24"/>
                <w:szCs w:val="24"/>
                <w:highlight w:val="none"/>
              </w:rPr>
              <w:t>上海浦东发展银行股份有限公司成都分行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37" w:hRule="exact"/>
          <w:jc w:val="center"/>
        </w:trPr>
        <w:tc>
          <w:tcPr>
            <w:tcW w:w="3547" w:type="dxa"/>
            <w:tcBorders>
              <w:top w:val="single" w:color="auto" w:sz="4" w:space="0"/>
              <w:left w:val="single" w:color="auto" w:sz="4" w:space="0"/>
              <w:bottom w:val="single" w:color="auto" w:sz="4" w:space="0"/>
              <w:right w:val="single" w:color="auto" w:sz="4" w:space="0"/>
            </w:tcBorders>
            <w:vAlign w:val="center"/>
          </w:tcPr>
          <w:p>
            <w:pPr>
              <w:widowControl/>
              <w:spacing w:line="400" w:lineRule="exact"/>
              <w:ind w:firstLine="480" w:firstLineChars="200"/>
              <w:jc w:val="left"/>
              <w:rPr>
                <w:rFonts w:asciiTheme="minorEastAsia" w:hAnsiTheme="minorEastAsia" w:eastAsiaTheme="minorEastAsia"/>
                <w:sz w:val="24"/>
                <w:szCs w:val="24"/>
                <w:highlight w:val="none"/>
              </w:rPr>
            </w:pPr>
            <w:r>
              <w:rPr>
                <w:rFonts w:asciiTheme="minorEastAsia" w:hAnsiTheme="minorEastAsia" w:eastAsiaTheme="minorEastAsia"/>
                <w:sz w:val="24"/>
                <w:szCs w:val="24"/>
                <w:highlight w:val="none"/>
              </w:rPr>
              <w:t xml:space="preserve">中国农业银行四川省分行 </w:t>
            </w:r>
          </w:p>
        </w:tc>
        <w:tc>
          <w:tcPr>
            <w:tcW w:w="450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ind w:firstLine="480" w:firstLineChars="200"/>
              <w:jc w:val="left"/>
              <w:rPr>
                <w:rFonts w:asciiTheme="minorEastAsia" w:hAnsiTheme="minorEastAsia" w:eastAsiaTheme="minorEastAsia"/>
                <w:sz w:val="24"/>
                <w:szCs w:val="24"/>
                <w:highlight w:val="none"/>
              </w:rPr>
            </w:pPr>
            <w:r>
              <w:rPr>
                <w:rFonts w:asciiTheme="minorEastAsia" w:hAnsiTheme="minorEastAsia" w:eastAsiaTheme="minorEastAsia"/>
                <w:sz w:val="24"/>
                <w:szCs w:val="24"/>
                <w:highlight w:val="none"/>
              </w:rPr>
              <w:t>雅安雨城惠民村镇银行有限责任公司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15" w:hRule="exact"/>
          <w:jc w:val="center"/>
        </w:trPr>
        <w:tc>
          <w:tcPr>
            <w:tcW w:w="3547" w:type="dxa"/>
            <w:tcBorders>
              <w:top w:val="single" w:color="auto" w:sz="4" w:space="0"/>
              <w:left w:val="single" w:color="auto" w:sz="4" w:space="0"/>
              <w:bottom w:val="single" w:color="auto" w:sz="4" w:space="0"/>
              <w:right w:val="single" w:color="auto" w:sz="4" w:space="0"/>
            </w:tcBorders>
            <w:vAlign w:val="center"/>
          </w:tcPr>
          <w:p>
            <w:pPr>
              <w:widowControl/>
              <w:spacing w:line="400" w:lineRule="exact"/>
              <w:ind w:firstLine="480" w:firstLineChars="200"/>
              <w:jc w:val="left"/>
              <w:rPr>
                <w:rFonts w:asciiTheme="minorEastAsia" w:hAnsiTheme="minorEastAsia" w:eastAsiaTheme="minorEastAsia"/>
                <w:sz w:val="24"/>
                <w:szCs w:val="24"/>
                <w:highlight w:val="none"/>
              </w:rPr>
            </w:pPr>
            <w:r>
              <w:rPr>
                <w:rFonts w:asciiTheme="minorEastAsia" w:hAnsiTheme="minorEastAsia" w:eastAsiaTheme="minorEastAsia"/>
                <w:sz w:val="24"/>
                <w:szCs w:val="24"/>
                <w:highlight w:val="none"/>
              </w:rPr>
              <w:t xml:space="preserve">中国银行四川省分行 </w:t>
            </w:r>
          </w:p>
        </w:tc>
        <w:tc>
          <w:tcPr>
            <w:tcW w:w="450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ind w:firstLine="480" w:firstLineChars="200"/>
              <w:jc w:val="left"/>
              <w:rPr>
                <w:rFonts w:asciiTheme="minorEastAsia" w:hAnsiTheme="minorEastAsia" w:eastAsiaTheme="minorEastAsia"/>
                <w:sz w:val="24"/>
                <w:szCs w:val="24"/>
                <w:highlight w:val="none"/>
              </w:rPr>
            </w:pPr>
            <w:r>
              <w:rPr>
                <w:rFonts w:asciiTheme="minorEastAsia" w:hAnsiTheme="minorEastAsia" w:eastAsiaTheme="minorEastAsia"/>
                <w:sz w:val="24"/>
                <w:szCs w:val="24"/>
                <w:highlight w:val="none"/>
              </w:rPr>
              <w:t>自贡银行股份有限公司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35" w:hRule="exact"/>
          <w:jc w:val="center"/>
        </w:trPr>
        <w:tc>
          <w:tcPr>
            <w:tcW w:w="3547" w:type="dxa"/>
            <w:tcBorders>
              <w:top w:val="single" w:color="auto" w:sz="4" w:space="0"/>
              <w:left w:val="single" w:color="auto" w:sz="4" w:space="0"/>
              <w:bottom w:val="single" w:color="auto" w:sz="4" w:space="0"/>
              <w:right w:val="single" w:color="auto" w:sz="4" w:space="0"/>
            </w:tcBorders>
            <w:vAlign w:val="center"/>
          </w:tcPr>
          <w:p>
            <w:pPr>
              <w:widowControl/>
              <w:spacing w:line="400" w:lineRule="exact"/>
              <w:ind w:firstLine="480" w:firstLineChars="200"/>
              <w:jc w:val="left"/>
              <w:rPr>
                <w:rFonts w:asciiTheme="minorEastAsia" w:hAnsiTheme="minorEastAsia" w:eastAsiaTheme="minorEastAsia"/>
                <w:sz w:val="24"/>
                <w:szCs w:val="24"/>
                <w:highlight w:val="none"/>
              </w:rPr>
            </w:pPr>
            <w:r>
              <w:rPr>
                <w:rFonts w:asciiTheme="minorEastAsia" w:hAnsiTheme="minorEastAsia" w:eastAsiaTheme="minorEastAsia"/>
                <w:sz w:val="24"/>
                <w:szCs w:val="24"/>
                <w:highlight w:val="none"/>
              </w:rPr>
              <w:t xml:space="preserve">交通银行四川省分行 </w:t>
            </w:r>
          </w:p>
        </w:tc>
        <w:tc>
          <w:tcPr>
            <w:tcW w:w="450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ind w:firstLine="480" w:firstLineChars="200"/>
              <w:jc w:val="left"/>
              <w:rPr>
                <w:rFonts w:asciiTheme="minorEastAsia" w:hAnsiTheme="minorEastAsia" w:eastAsiaTheme="minorEastAsia"/>
                <w:sz w:val="24"/>
                <w:szCs w:val="24"/>
                <w:highlight w:val="none"/>
              </w:rPr>
            </w:pPr>
            <w:r>
              <w:rPr>
                <w:rFonts w:asciiTheme="minorEastAsia" w:hAnsiTheme="minorEastAsia" w:eastAsiaTheme="minorEastAsia"/>
                <w:sz w:val="24"/>
                <w:szCs w:val="24"/>
                <w:highlight w:val="none"/>
              </w:rPr>
              <w:t>宜宾市商业银行股份有限公司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13" w:hRule="exact"/>
          <w:jc w:val="center"/>
        </w:trPr>
        <w:tc>
          <w:tcPr>
            <w:tcW w:w="3547" w:type="dxa"/>
            <w:tcBorders>
              <w:top w:val="single" w:color="auto" w:sz="4" w:space="0"/>
              <w:left w:val="single" w:color="auto" w:sz="4" w:space="0"/>
              <w:bottom w:val="single" w:color="auto" w:sz="4" w:space="0"/>
              <w:right w:val="single" w:color="auto" w:sz="4" w:space="0"/>
            </w:tcBorders>
            <w:vAlign w:val="center"/>
          </w:tcPr>
          <w:p>
            <w:pPr>
              <w:widowControl/>
              <w:spacing w:line="400" w:lineRule="exact"/>
              <w:ind w:firstLine="480" w:firstLineChars="200"/>
              <w:jc w:val="left"/>
              <w:rPr>
                <w:rFonts w:asciiTheme="minorEastAsia" w:hAnsiTheme="minorEastAsia" w:eastAsiaTheme="minorEastAsia"/>
                <w:sz w:val="24"/>
                <w:szCs w:val="24"/>
                <w:highlight w:val="none"/>
              </w:rPr>
            </w:pPr>
            <w:r>
              <w:rPr>
                <w:rFonts w:asciiTheme="minorEastAsia" w:hAnsiTheme="minorEastAsia" w:eastAsiaTheme="minorEastAsia"/>
                <w:sz w:val="24"/>
                <w:szCs w:val="24"/>
                <w:highlight w:val="none"/>
              </w:rPr>
              <w:t xml:space="preserve">中国邮储银行四川省分行 </w:t>
            </w:r>
          </w:p>
        </w:tc>
        <w:tc>
          <w:tcPr>
            <w:tcW w:w="450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ind w:firstLine="480" w:firstLineChars="200"/>
              <w:jc w:val="left"/>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泸州银行股份有限公司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33" w:hRule="exact"/>
          <w:jc w:val="center"/>
        </w:trPr>
        <w:tc>
          <w:tcPr>
            <w:tcW w:w="3547" w:type="dxa"/>
            <w:tcBorders>
              <w:top w:val="single" w:color="auto" w:sz="4" w:space="0"/>
              <w:left w:val="single" w:color="auto" w:sz="4" w:space="0"/>
              <w:bottom w:val="single" w:color="auto" w:sz="4" w:space="0"/>
              <w:right w:val="single" w:color="auto" w:sz="4" w:space="0"/>
            </w:tcBorders>
            <w:vAlign w:val="center"/>
          </w:tcPr>
          <w:p>
            <w:pPr>
              <w:widowControl/>
              <w:spacing w:line="400" w:lineRule="exact"/>
              <w:ind w:firstLine="480" w:firstLineChars="200"/>
              <w:jc w:val="left"/>
              <w:rPr>
                <w:rFonts w:asciiTheme="minorEastAsia" w:hAnsiTheme="minorEastAsia" w:eastAsiaTheme="minorEastAsia"/>
                <w:sz w:val="24"/>
                <w:szCs w:val="24"/>
                <w:highlight w:val="none"/>
              </w:rPr>
            </w:pPr>
            <w:r>
              <w:rPr>
                <w:rFonts w:asciiTheme="minorEastAsia" w:hAnsiTheme="minorEastAsia" w:eastAsiaTheme="minorEastAsia"/>
                <w:sz w:val="24"/>
                <w:szCs w:val="24"/>
                <w:highlight w:val="none"/>
              </w:rPr>
              <w:t xml:space="preserve">华夏银行成都分行 </w:t>
            </w:r>
          </w:p>
        </w:tc>
        <w:tc>
          <w:tcPr>
            <w:tcW w:w="450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ind w:firstLine="480" w:firstLineChars="200"/>
              <w:jc w:val="left"/>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中国光大银行股份有限公司成都分行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11" w:hRule="exact"/>
          <w:jc w:val="center"/>
        </w:trPr>
        <w:tc>
          <w:tcPr>
            <w:tcW w:w="3547" w:type="dxa"/>
            <w:tcBorders>
              <w:top w:val="single" w:color="auto" w:sz="4" w:space="0"/>
              <w:left w:val="single" w:color="auto" w:sz="4" w:space="0"/>
              <w:bottom w:val="single" w:color="auto" w:sz="4" w:space="0"/>
              <w:right w:val="single" w:color="auto" w:sz="4" w:space="0"/>
            </w:tcBorders>
            <w:vAlign w:val="center"/>
          </w:tcPr>
          <w:p>
            <w:pPr>
              <w:widowControl/>
              <w:spacing w:line="400" w:lineRule="exact"/>
              <w:ind w:firstLine="480" w:firstLineChars="200"/>
              <w:jc w:val="left"/>
              <w:rPr>
                <w:rFonts w:asciiTheme="minorEastAsia" w:hAnsiTheme="minorEastAsia" w:eastAsiaTheme="minorEastAsia"/>
                <w:sz w:val="24"/>
                <w:szCs w:val="24"/>
                <w:highlight w:val="none"/>
              </w:rPr>
            </w:pPr>
            <w:r>
              <w:rPr>
                <w:rFonts w:asciiTheme="minorEastAsia" w:hAnsiTheme="minorEastAsia" w:eastAsiaTheme="minorEastAsia"/>
                <w:sz w:val="24"/>
                <w:szCs w:val="24"/>
                <w:highlight w:val="none"/>
              </w:rPr>
              <w:t xml:space="preserve">民生银行成都分行 </w:t>
            </w:r>
          </w:p>
        </w:tc>
        <w:tc>
          <w:tcPr>
            <w:tcW w:w="450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ind w:firstLine="480" w:firstLineChars="200"/>
              <w:jc w:val="left"/>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中信银行股份有限公司成都分行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30" w:hRule="exact"/>
          <w:jc w:val="center"/>
        </w:trPr>
        <w:tc>
          <w:tcPr>
            <w:tcW w:w="3547" w:type="dxa"/>
            <w:tcBorders>
              <w:top w:val="single" w:color="auto" w:sz="4" w:space="0"/>
              <w:left w:val="single" w:color="auto" w:sz="4" w:space="0"/>
              <w:bottom w:val="single" w:color="auto" w:sz="4" w:space="0"/>
              <w:right w:val="single" w:color="auto" w:sz="4" w:space="0"/>
            </w:tcBorders>
            <w:vAlign w:val="center"/>
          </w:tcPr>
          <w:p>
            <w:pPr>
              <w:widowControl/>
              <w:spacing w:line="400" w:lineRule="exact"/>
              <w:ind w:firstLine="480" w:firstLineChars="200"/>
              <w:jc w:val="left"/>
              <w:rPr>
                <w:rFonts w:asciiTheme="minorEastAsia" w:hAnsiTheme="minorEastAsia" w:eastAsiaTheme="minorEastAsia"/>
                <w:sz w:val="24"/>
                <w:szCs w:val="24"/>
                <w:highlight w:val="none"/>
              </w:rPr>
            </w:pPr>
            <w:r>
              <w:rPr>
                <w:rFonts w:asciiTheme="minorEastAsia" w:hAnsiTheme="minorEastAsia" w:eastAsiaTheme="minorEastAsia"/>
                <w:sz w:val="24"/>
                <w:szCs w:val="24"/>
                <w:highlight w:val="none"/>
              </w:rPr>
              <w:t xml:space="preserve">四川天府银行 </w:t>
            </w:r>
          </w:p>
        </w:tc>
        <w:tc>
          <w:tcPr>
            <w:tcW w:w="450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ind w:firstLine="480" w:firstLineChars="200"/>
              <w:jc w:val="left"/>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四川银行股份有限公司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23" w:hRule="exact"/>
          <w:jc w:val="center"/>
        </w:trPr>
        <w:tc>
          <w:tcPr>
            <w:tcW w:w="3547" w:type="dxa"/>
            <w:tcBorders>
              <w:top w:val="single" w:color="auto" w:sz="4" w:space="0"/>
              <w:left w:val="single" w:color="auto" w:sz="4" w:space="0"/>
              <w:bottom w:val="single" w:color="auto" w:sz="4" w:space="0"/>
              <w:right w:val="single" w:color="auto" w:sz="4" w:space="0"/>
            </w:tcBorders>
            <w:vAlign w:val="center"/>
          </w:tcPr>
          <w:p>
            <w:pPr>
              <w:widowControl/>
              <w:spacing w:line="400" w:lineRule="exact"/>
              <w:ind w:firstLine="480" w:firstLineChars="200"/>
              <w:jc w:val="left"/>
              <w:rPr>
                <w:rFonts w:asciiTheme="minorEastAsia" w:hAnsiTheme="minorEastAsia" w:eastAsiaTheme="minorEastAsia"/>
                <w:sz w:val="24"/>
                <w:szCs w:val="24"/>
                <w:highlight w:val="none"/>
              </w:rPr>
            </w:pPr>
            <w:r>
              <w:rPr>
                <w:rFonts w:asciiTheme="minorEastAsia" w:hAnsiTheme="minorEastAsia" w:eastAsiaTheme="minorEastAsia"/>
                <w:sz w:val="24"/>
                <w:szCs w:val="24"/>
                <w:highlight w:val="none"/>
              </w:rPr>
              <w:t xml:space="preserve">兴业银行成都分行 </w:t>
            </w:r>
          </w:p>
        </w:tc>
        <w:tc>
          <w:tcPr>
            <w:tcW w:w="450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ind w:firstLine="480" w:firstLineChars="200"/>
              <w:jc w:val="left"/>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遂宁银行股份有限公司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15" w:hRule="exact"/>
          <w:jc w:val="center"/>
        </w:trPr>
        <w:tc>
          <w:tcPr>
            <w:tcW w:w="3547" w:type="dxa"/>
            <w:tcBorders>
              <w:top w:val="single" w:color="auto" w:sz="4" w:space="0"/>
              <w:left w:val="single" w:color="auto" w:sz="4" w:space="0"/>
              <w:bottom w:val="single" w:color="auto" w:sz="4" w:space="0"/>
              <w:right w:val="single" w:color="auto" w:sz="4" w:space="0"/>
            </w:tcBorders>
            <w:vAlign w:val="center"/>
          </w:tcPr>
          <w:p>
            <w:pPr>
              <w:widowControl/>
              <w:spacing w:line="400" w:lineRule="exact"/>
              <w:ind w:firstLine="480" w:firstLineChars="200"/>
              <w:jc w:val="left"/>
              <w:rPr>
                <w:rFonts w:asciiTheme="minorEastAsia" w:hAnsiTheme="minorEastAsia" w:eastAsiaTheme="minorEastAsia"/>
                <w:sz w:val="24"/>
                <w:szCs w:val="24"/>
                <w:highlight w:val="none"/>
              </w:rPr>
            </w:pPr>
            <w:r>
              <w:rPr>
                <w:rFonts w:asciiTheme="minorEastAsia" w:hAnsiTheme="minorEastAsia" w:eastAsiaTheme="minorEastAsia"/>
                <w:sz w:val="24"/>
                <w:szCs w:val="24"/>
                <w:highlight w:val="none"/>
              </w:rPr>
              <w:t xml:space="preserve">成都银行 </w:t>
            </w:r>
          </w:p>
        </w:tc>
        <w:tc>
          <w:tcPr>
            <w:tcW w:w="450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ind w:firstLine="480" w:firstLineChars="200"/>
              <w:jc w:val="left"/>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广元市贵商村镇银行股份有限公司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21" w:hRule="exact"/>
          <w:jc w:val="center"/>
        </w:trPr>
        <w:tc>
          <w:tcPr>
            <w:tcW w:w="3547" w:type="dxa"/>
            <w:tcBorders>
              <w:top w:val="single" w:color="auto" w:sz="4" w:space="0"/>
              <w:left w:val="single" w:color="auto" w:sz="4" w:space="0"/>
              <w:bottom w:val="single" w:color="auto" w:sz="4" w:space="0"/>
              <w:right w:val="single" w:color="auto" w:sz="4" w:space="0"/>
            </w:tcBorders>
            <w:vAlign w:val="center"/>
          </w:tcPr>
          <w:p>
            <w:pPr>
              <w:widowControl/>
              <w:spacing w:line="400" w:lineRule="exact"/>
              <w:ind w:firstLine="480" w:firstLineChars="200"/>
              <w:jc w:val="left"/>
              <w:rPr>
                <w:rFonts w:asciiTheme="minorEastAsia" w:hAnsiTheme="minorEastAsia" w:eastAsiaTheme="minorEastAsia"/>
                <w:sz w:val="24"/>
                <w:szCs w:val="24"/>
                <w:highlight w:val="none"/>
              </w:rPr>
            </w:pPr>
            <w:r>
              <w:rPr>
                <w:rFonts w:asciiTheme="minorEastAsia" w:hAnsiTheme="minorEastAsia" w:eastAsiaTheme="minorEastAsia"/>
                <w:sz w:val="24"/>
                <w:szCs w:val="24"/>
                <w:highlight w:val="none"/>
              </w:rPr>
              <w:t xml:space="preserve">成都农村商业银行 </w:t>
            </w:r>
          </w:p>
        </w:tc>
        <w:tc>
          <w:tcPr>
            <w:tcW w:w="450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ind w:firstLine="480" w:firstLineChars="200"/>
              <w:jc w:val="left"/>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西昌金信村镇银行有限责任公司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26" w:hRule="exact"/>
          <w:jc w:val="center"/>
        </w:trPr>
        <w:tc>
          <w:tcPr>
            <w:tcW w:w="3547" w:type="dxa"/>
            <w:tcBorders>
              <w:top w:val="single" w:color="auto" w:sz="4" w:space="0"/>
              <w:left w:val="single" w:color="auto" w:sz="4" w:space="0"/>
              <w:bottom w:val="single" w:color="auto" w:sz="4" w:space="0"/>
              <w:right w:val="single" w:color="auto" w:sz="4" w:space="0"/>
            </w:tcBorders>
            <w:vAlign w:val="center"/>
          </w:tcPr>
          <w:p>
            <w:pPr>
              <w:widowControl/>
              <w:spacing w:line="400" w:lineRule="exact"/>
              <w:ind w:firstLine="480" w:firstLineChars="200"/>
              <w:jc w:val="left"/>
              <w:rPr>
                <w:rFonts w:asciiTheme="minorEastAsia" w:hAnsiTheme="minorEastAsia" w:eastAsiaTheme="minorEastAsia"/>
                <w:sz w:val="24"/>
                <w:szCs w:val="24"/>
                <w:highlight w:val="none"/>
              </w:rPr>
            </w:pPr>
            <w:r>
              <w:rPr>
                <w:rFonts w:asciiTheme="minorEastAsia" w:hAnsiTheme="minorEastAsia" w:eastAsiaTheme="minorEastAsia"/>
                <w:sz w:val="24"/>
                <w:szCs w:val="24"/>
                <w:highlight w:val="none"/>
              </w:rPr>
              <w:t>上海银行成都分行</w:t>
            </w:r>
          </w:p>
        </w:tc>
        <w:tc>
          <w:tcPr>
            <w:tcW w:w="450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ind w:firstLine="480" w:firstLineChars="200"/>
              <w:jc w:val="left"/>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南部县中成村镇银行股份有限公司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33" w:hRule="exact"/>
          <w:jc w:val="center"/>
        </w:trPr>
        <w:tc>
          <w:tcPr>
            <w:tcW w:w="3547" w:type="dxa"/>
            <w:tcBorders>
              <w:top w:val="single" w:color="auto" w:sz="4" w:space="0"/>
              <w:left w:val="single" w:color="auto" w:sz="4" w:space="0"/>
              <w:bottom w:val="single" w:color="auto" w:sz="4" w:space="0"/>
              <w:right w:val="single" w:color="auto" w:sz="4" w:space="0"/>
            </w:tcBorders>
            <w:vAlign w:val="center"/>
          </w:tcPr>
          <w:p>
            <w:pPr>
              <w:widowControl/>
              <w:spacing w:line="400" w:lineRule="exact"/>
              <w:ind w:firstLine="480" w:firstLineChars="200"/>
              <w:jc w:val="left"/>
              <w:rPr>
                <w:rFonts w:asciiTheme="minorEastAsia" w:hAnsiTheme="minorEastAsia" w:eastAsiaTheme="minorEastAsia"/>
                <w:sz w:val="24"/>
                <w:szCs w:val="24"/>
                <w:highlight w:val="none"/>
              </w:rPr>
            </w:pPr>
            <w:r>
              <w:rPr>
                <w:rFonts w:asciiTheme="minorEastAsia" w:hAnsiTheme="minorEastAsia" w:eastAsiaTheme="minorEastAsia"/>
                <w:sz w:val="24"/>
                <w:szCs w:val="24"/>
                <w:highlight w:val="none"/>
              </w:rPr>
              <w:t>渤海银行成都分行</w:t>
            </w:r>
          </w:p>
        </w:tc>
        <w:tc>
          <w:tcPr>
            <w:tcW w:w="450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ind w:firstLine="480" w:firstLineChars="200"/>
              <w:jc w:val="left"/>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南部县中成村镇银行股份有限公司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11" w:hRule="exact"/>
          <w:jc w:val="center"/>
        </w:trPr>
        <w:tc>
          <w:tcPr>
            <w:tcW w:w="3547" w:type="dxa"/>
            <w:tcBorders>
              <w:top w:val="single" w:color="auto" w:sz="4" w:space="0"/>
              <w:left w:val="single" w:color="auto" w:sz="4" w:space="0"/>
              <w:bottom w:val="single" w:color="auto" w:sz="4" w:space="0"/>
              <w:right w:val="single" w:color="auto" w:sz="4" w:space="0"/>
            </w:tcBorders>
            <w:vAlign w:val="center"/>
          </w:tcPr>
          <w:p>
            <w:pPr>
              <w:widowControl/>
              <w:spacing w:line="400" w:lineRule="exact"/>
              <w:ind w:firstLine="480" w:firstLineChars="200"/>
              <w:jc w:val="left"/>
              <w:rPr>
                <w:rFonts w:asciiTheme="minorEastAsia" w:hAnsiTheme="minorEastAsia" w:eastAsiaTheme="minorEastAsia"/>
                <w:sz w:val="24"/>
                <w:szCs w:val="24"/>
                <w:highlight w:val="none"/>
              </w:rPr>
            </w:pPr>
            <w:r>
              <w:rPr>
                <w:rFonts w:asciiTheme="minorEastAsia" w:hAnsiTheme="minorEastAsia" w:eastAsiaTheme="minorEastAsia"/>
                <w:sz w:val="24"/>
                <w:szCs w:val="24"/>
                <w:highlight w:val="none"/>
              </w:rPr>
              <w:t>雅安农村商业银行</w:t>
            </w:r>
          </w:p>
        </w:tc>
        <w:tc>
          <w:tcPr>
            <w:tcW w:w="450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ind w:firstLine="480" w:firstLineChars="200"/>
              <w:jc w:val="left"/>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南充嘉陵中成村镇银行股份有限公司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31" w:hRule="exact"/>
          <w:jc w:val="center"/>
        </w:trPr>
        <w:tc>
          <w:tcPr>
            <w:tcW w:w="3547" w:type="dxa"/>
            <w:tcBorders>
              <w:top w:val="single" w:color="auto" w:sz="4" w:space="0"/>
              <w:left w:val="single" w:color="auto" w:sz="4" w:space="0"/>
              <w:bottom w:val="single" w:color="auto" w:sz="4" w:space="0"/>
              <w:right w:val="single" w:color="auto" w:sz="4" w:space="0"/>
            </w:tcBorders>
            <w:vAlign w:val="center"/>
          </w:tcPr>
          <w:p>
            <w:pPr>
              <w:widowControl/>
              <w:spacing w:line="400" w:lineRule="exact"/>
              <w:ind w:firstLine="480" w:firstLineChars="200"/>
              <w:jc w:val="left"/>
              <w:rPr>
                <w:rFonts w:asciiTheme="minorEastAsia" w:hAnsiTheme="minorEastAsia" w:eastAsiaTheme="minorEastAsia"/>
                <w:sz w:val="24"/>
                <w:szCs w:val="24"/>
                <w:highlight w:val="none"/>
              </w:rPr>
            </w:pPr>
            <w:r>
              <w:rPr>
                <w:rFonts w:asciiTheme="minorEastAsia" w:hAnsiTheme="minorEastAsia" w:eastAsiaTheme="minorEastAsia"/>
                <w:sz w:val="24"/>
                <w:szCs w:val="24"/>
                <w:highlight w:val="none"/>
              </w:rPr>
              <w:t>雅安市商业银行</w:t>
            </w:r>
          </w:p>
        </w:tc>
        <w:tc>
          <w:tcPr>
            <w:tcW w:w="450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ind w:firstLine="480" w:firstLineChars="200"/>
              <w:jc w:val="left"/>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长宁中成村镇银行股份有限公司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22" w:hRule="exact"/>
          <w:jc w:val="center"/>
        </w:trPr>
        <w:tc>
          <w:tcPr>
            <w:tcW w:w="3547" w:type="dxa"/>
            <w:tcBorders>
              <w:top w:val="single" w:color="auto" w:sz="4" w:space="0"/>
              <w:left w:val="single" w:color="auto" w:sz="4" w:space="0"/>
              <w:bottom w:val="single" w:color="auto" w:sz="4" w:space="0"/>
              <w:right w:val="single" w:color="auto" w:sz="4" w:space="0"/>
            </w:tcBorders>
            <w:vAlign w:val="center"/>
          </w:tcPr>
          <w:p>
            <w:pPr>
              <w:widowControl/>
              <w:spacing w:line="400" w:lineRule="exact"/>
              <w:ind w:firstLine="480" w:firstLineChars="200"/>
              <w:jc w:val="left"/>
              <w:rPr>
                <w:rFonts w:asciiTheme="minorEastAsia" w:hAnsiTheme="minorEastAsia" w:eastAsiaTheme="minorEastAsia"/>
                <w:sz w:val="24"/>
                <w:szCs w:val="24"/>
                <w:highlight w:val="none"/>
              </w:rPr>
            </w:pPr>
            <w:r>
              <w:rPr>
                <w:rFonts w:asciiTheme="minorEastAsia" w:hAnsiTheme="minorEastAsia" w:eastAsiaTheme="minorEastAsia"/>
                <w:sz w:val="24"/>
                <w:szCs w:val="24"/>
                <w:highlight w:val="none"/>
              </w:rPr>
              <w:t>眉山农村商业银行</w:t>
            </w:r>
          </w:p>
        </w:tc>
        <w:tc>
          <w:tcPr>
            <w:tcW w:w="450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ind w:firstLine="480" w:firstLineChars="200"/>
              <w:jc w:val="left"/>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自贡中成村镇银行股份有限公司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29" w:hRule="exact"/>
          <w:jc w:val="center"/>
        </w:trPr>
        <w:tc>
          <w:tcPr>
            <w:tcW w:w="3547" w:type="dxa"/>
            <w:tcBorders>
              <w:top w:val="single" w:color="auto" w:sz="4" w:space="0"/>
              <w:left w:val="single" w:color="auto" w:sz="4" w:space="0"/>
              <w:bottom w:val="single" w:color="auto" w:sz="4" w:space="0"/>
              <w:right w:val="single" w:color="auto" w:sz="4" w:space="0"/>
            </w:tcBorders>
            <w:vAlign w:val="center"/>
          </w:tcPr>
          <w:p>
            <w:pPr>
              <w:widowControl/>
              <w:spacing w:line="400" w:lineRule="exact"/>
              <w:ind w:firstLine="480" w:firstLineChars="200"/>
              <w:jc w:val="left"/>
              <w:rPr>
                <w:rFonts w:asciiTheme="minorEastAsia" w:hAnsiTheme="minorEastAsia" w:eastAsiaTheme="minorEastAsia"/>
                <w:sz w:val="24"/>
                <w:szCs w:val="24"/>
                <w:highlight w:val="none"/>
              </w:rPr>
            </w:pPr>
            <w:r>
              <w:rPr>
                <w:rFonts w:asciiTheme="minorEastAsia" w:hAnsiTheme="minorEastAsia" w:eastAsiaTheme="minorEastAsia"/>
                <w:sz w:val="24"/>
                <w:szCs w:val="24"/>
                <w:highlight w:val="none"/>
              </w:rPr>
              <w:t>乐山市商业银行</w:t>
            </w:r>
          </w:p>
        </w:tc>
        <w:tc>
          <w:tcPr>
            <w:tcW w:w="450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ind w:firstLine="480" w:firstLineChars="200"/>
              <w:jc w:val="left"/>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筠连中成村镇银行股份有限公司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21" w:hRule="exact"/>
          <w:jc w:val="center"/>
        </w:trPr>
        <w:tc>
          <w:tcPr>
            <w:tcW w:w="3547" w:type="dxa"/>
            <w:tcBorders>
              <w:top w:val="single" w:color="auto" w:sz="4" w:space="0"/>
              <w:left w:val="single" w:color="auto" w:sz="4" w:space="0"/>
              <w:bottom w:val="single" w:color="auto" w:sz="4" w:space="0"/>
              <w:right w:val="single" w:color="auto" w:sz="4" w:space="0"/>
            </w:tcBorders>
            <w:vAlign w:val="center"/>
          </w:tcPr>
          <w:p>
            <w:pPr>
              <w:widowControl/>
              <w:spacing w:line="400" w:lineRule="exact"/>
              <w:ind w:firstLine="480" w:firstLineChars="200"/>
              <w:jc w:val="left"/>
              <w:rPr>
                <w:rFonts w:asciiTheme="minorEastAsia" w:hAnsiTheme="minorEastAsia" w:eastAsiaTheme="minorEastAsia"/>
                <w:sz w:val="24"/>
                <w:szCs w:val="24"/>
                <w:highlight w:val="none"/>
              </w:rPr>
            </w:pPr>
            <w:r>
              <w:rPr>
                <w:rFonts w:asciiTheme="minorEastAsia" w:hAnsiTheme="minorEastAsia" w:eastAsiaTheme="minorEastAsia"/>
                <w:sz w:val="24"/>
                <w:szCs w:val="24"/>
                <w:highlight w:val="none"/>
              </w:rPr>
              <w:t>乐山嘉州民富村镇银行</w:t>
            </w:r>
          </w:p>
        </w:tc>
        <w:tc>
          <w:tcPr>
            <w:tcW w:w="450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ind w:firstLine="480" w:firstLineChars="200"/>
              <w:jc w:val="left"/>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峨眉山中成村镇银行股份有限公司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27" w:hRule="exact"/>
          <w:jc w:val="center"/>
        </w:trPr>
        <w:tc>
          <w:tcPr>
            <w:tcW w:w="3547" w:type="dxa"/>
            <w:tcBorders>
              <w:top w:val="single" w:color="auto" w:sz="4" w:space="0"/>
              <w:left w:val="single" w:color="auto" w:sz="4" w:space="0"/>
              <w:bottom w:val="single" w:color="auto" w:sz="4" w:space="0"/>
              <w:right w:val="single" w:color="auto" w:sz="4" w:space="0"/>
            </w:tcBorders>
            <w:vAlign w:val="center"/>
          </w:tcPr>
          <w:p>
            <w:pPr>
              <w:widowControl/>
              <w:spacing w:line="400" w:lineRule="exact"/>
              <w:ind w:firstLine="480" w:firstLineChars="200"/>
              <w:jc w:val="left"/>
              <w:rPr>
                <w:rFonts w:asciiTheme="minorEastAsia" w:hAnsiTheme="minorEastAsia" w:eastAsiaTheme="minorEastAsia"/>
                <w:sz w:val="24"/>
                <w:szCs w:val="24"/>
                <w:highlight w:val="none"/>
              </w:rPr>
            </w:pPr>
            <w:r>
              <w:rPr>
                <w:rFonts w:asciiTheme="minorEastAsia" w:hAnsiTheme="minorEastAsia" w:eastAsiaTheme="minorEastAsia"/>
                <w:sz w:val="24"/>
                <w:szCs w:val="24"/>
                <w:highlight w:val="none"/>
              </w:rPr>
              <w:t>绵阳市商业银行</w:t>
            </w:r>
          </w:p>
        </w:tc>
        <w:tc>
          <w:tcPr>
            <w:tcW w:w="450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ind w:firstLine="480" w:firstLineChars="200"/>
              <w:jc w:val="left"/>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浙商银行股份有限公司成都分行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18" w:hRule="exact"/>
          <w:jc w:val="center"/>
        </w:trPr>
        <w:tc>
          <w:tcPr>
            <w:tcW w:w="3547" w:type="dxa"/>
            <w:tcBorders>
              <w:top w:val="single" w:color="auto" w:sz="4" w:space="0"/>
              <w:left w:val="single" w:color="auto" w:sz="4" w:space="0"/>
              <w:bottom w:val="single" w:color="auto" w:sz="4" w:space="0"/>
              <w:right w:val="single" w:color="auto" w:sz="4" w:space="0"/>
            </w:tcBorders>
            <w:vAlign w:val="center"/>
          </w:tcPr>
          <w:p>
            <w:pPr>
              <w:widowControl/>
              <w:spacing w:line="400" w:lineRule="exact"/>
              <w:ind w:firstLine="480" w:firstLineChars="200"/>
              <w:jc w:val="left"/>
              <w:rPr>
                <w:rFonts w:asciiTheme="minorEastAsia" w:hAnsiTheme="minorEastAsia" w:eastAsiaTheme="minorEastAsia"/>
                <w:sz w:val="24"/>
                <w:szCs w:val="24"/>
                <w:highlight w:val="none"/>
              </w:rPr>
            </w:pPr>
            <w:r>
              <w:rPr>
                <w:rFonts w:asciiTheme="minorEastAsia" w:hAnsiTheme="minorEastAsia" w:eastAsiaTheme="minorEastAsia"/>
                <w:sz w:val="24"/>
                <w:szCs w:val="24"/>
                <w:highlight w:val="none"/>
              </w:rPr>
              <w:t>四川省农村信用社联合社</w:t>
            </w:r>
          </w:p>
        </w:tc>
        <w:tc>
          <w:tcPr>
            <w:tcW w:w="450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ind w:firstLine="480" w:firstLineChars="200"/>
              <w:jc w:val="left"/>
              <w:rPr>
                <w:rFonts w:asciiTheme="minorEastAsia" w:hAnsiTheme="minorEastAsia" w:eastAsiaTheme="minorEastAsia"/>
                <w:sz w:val="24"/>
                <w:szCs w:val="24"/>
                <w:highlight w:val="none"/>
              </w:rPr>
            </w:pPr>
          </w:p>
        </w:tc>
      </w:tr>
    </w:tbl>
    <w:p>
      <w:pPr>
        <w:pStyle w:val="3"/>
        <w:spacing w:before="0" w:after="0" w:line="480" w:lineRule="auto"/>
        <w:jc w:val="center"/>
        <w:rPr>
          <w:highlight w:val="none"/>
        </w:rPr>
      </w:pPr>
      <w:bookmarkStart w:id="2" w:name="_Toc78978669"/>
      <w:bookmarkStart w:id="3" w:name="EBb892a19666dc4ca58f3e5addb56d8c65"/>
      <w:r>
        <w:rPr>
          <w:highlight w:val="none"/>
        </w:rPr>
        <w:t>第一章</w:t>
      </w:r>
      <w:r>
        <w:rPr>
          <w:rFonts w:hint="eastAsia"/>
          <w:highlight w:val="none"/>
        </w:rPr>
        <w:t>投标邀请</w:t>
      </w:r>
      <w:bookmarkEnd w:id="2"/>
    </w:p>
    <w:bookmarkEnd w:id="3"/>
    <w:p>
      <w:pPr>
        <w:spacing w:line="480" w:lineRule="exact"/>
        <w:rPr>
          <w:rFonts w:ascii="黑体" w:hAnsi="黑体" w:eastAsia="黑体"/>
          <w:sz w:val="24"/>
          <w:szCs w:val="24"/>
          <w:highlight w:val="none"/>
        </w:rPr>
      </w:pPr>
      <w:r>
        <w:rPr>
          <w:rFonts w:hint="eastAsia" w:ascii="黑体" w:hAnsi="黑体" w:eastAsia="黑体"/>
          <w:sz w:val="24"/>
          <w:szCs w:val="24"/>
          <w:highlight w:val="none"/>
        </w:rPr>
        <w:t>一、项目基本情况</w:t>
      </w:r>
    </w:p>
    <w:p>
      <w:pPr>
        <w:spacing w:line="480" w:lineRule="exact"/>
        <w:ind w:firstLine="482" w:firstLineChars="200"/>
        <w:rPr>
          <w:rFonts w:asciiTheme="minorEastAsia" w:hAnsiTheme="minorEastAsia"/>
          <w:sz w:val="24"/>
          <w:szCs w:val="24"/>
          <w:highlight w:val="none"/>
          <w:u w:val="single"/>
        </w:rPr>
      </w:pPr>
      <w:r>
        <w:rPr>
          <w:rFonts w:hint="eastAsia" w:asciiTheme="minorEastAsia" w:hAnsiTheme="minorEastAsia"/>
          <w:b/>
          <w:sz w:val="24"/>
          <w:szCs w:val="24"/>
          <w:highlight w:val="none"/>
        </w:rPr>
        <w:t>项目编号</w:t>
      </w:r>
      <w:r>
        <w:rPr>
          <w:rFonts w:hint="eastAsia" w:asciiTheme="minorEastAsia" w:hAnsiTheme="minorEastAsia"/>
          <w:sz w:val="24"/>
          <w:szCs w:val="24"/>
          <w:highlight w:val="none"/>
        </w:rPr>
        <w:t>：</w:t>
      </w:r>
      <w:r>
        <w:rPr>
          <w:rFonts w:hint="eastAsia" w:asciiTheme="minorEastAsia" w:hAnsiTheme="minorEastAsia"/>
          <w:sz w:val="24"/>
          <w:szCs w:val="24"/>
          <w:highlight w:val="none"/>
          <w:u w:val="single"/>
          <w:lang w:val="en-US" w:eastAsia="zh-CN"/>
        </w:rPr>
        <w:t>以四川省政府采购网生成编号为准</w:t>
      </w:r>
    </w:p>
    <w:p>
      <w:pPr>
        <w:spacing w:line="480" w:lineRule="exact"/>
        <w:ind w:firstLine="482" w:firstLineChars="200"/>
        <w:rPr>
          <w:rFonts w:asciiTheme="minorEastAsia" w:hAnsiTheme="minorEastAsia"/>
          <w:sz w:val="24"/>
          <w:szCs w:val="24"/>
          <w:highlight w:val="none"/>
        </w:rPr>
      </w:pPr>
      <w:r>
        <w:rPr>
          <w:rFonts w:hint="eastAsia" w:asciiTheme="minorEastAsia" w:hAnsiTheme="minorEastAsia"/>
          <w:b/>
          <w:sz w:val="24"/>
          <w:szCs w:val="24"/>
          <w:highlight w:val="none"/>
        </w:rPr>
        <w:t>项目名称：</w:t>
      </w:r>
      <w:r>
        <w:rPr>
          <w:rFonts w:hint="eastAsia" w:asciiTheme="minorEastAsia" w:hAnsiTheme="minorEastAsia"/>
          <w:b w:val="0"/>
          <w:bCs/>
          <w:sz w:val="24"/>
          <w:szCs w:val="24"/>
          <w:highlight w:val="none"/>
          <w:u w:val="single"/>
        </w:rPr>
        <w:t>眉山市退役军人事务系统信息化建设项目</w:t>
      </w:r>
    </w:p>
    <w:p>
      <w:pPr>
        <w:spacing w:line="480" w:lineRule="exact"/>
        <w:ind w:firstLine="482" w:firstLineChars="200"/>
        <w:rPr>
          <w:rFonts w:hint="eastAsia" w:eastAsia="宋体" w:asciiTheme="minorEastAsia" w:hAnsiTheme="minorEastAsia"/>
          <w:b w:val="0"/>
          <w:bCs/>
          <w:sz w:val="24"/>
          <w:szCs w:val="24"/>
          <w:highlight w:val="none"/>
          <w:u w:val="single"/>
          <w:lang w:eastAsia="zh-CN"/>
        </w:rPr>
      </w:pPr>
      <w:r>
        <w:rPr>
          <w:rFonts w:hint="eastAsia" w:asciiTheme="minorEastAsia" w:hAnsiTheme="minorEastAsia"/>
          <w:b/>
          <w:sz w:val="24"/>
          <w:szCs w:val="24"/>
          <w:highlight w:val="none"/>
        </w:rPr>
        <w:t>预算金额：</w:t>
      </w:r>
      <w:r>
        <w:rPr>
          <w:rFonts w:hint="eastAsia" w:asciiTheme="minorEastAsia" w:hAnsiTheme="minorEastAsia"/>
          <w:b w:val="0"/>
          <w:bCs/>
          <w:sz w:val="24"/>
          <w:szCs w:val="24"/>
          <w:highlight w:val="none"/>
          <w:u w:val="single"/>
          <w:lang w:val="en-US" w:eastAsia="zh-CN"/>
        </w:rPr>
        <w:t>6607571.74</w:t>
      </w:r>
      <w:r>
        <w:rPr>
          <w:rFonts w:hint="eastAsia" w:asciiTheme="minorEastAsia" w:hAnsiTheme="minorEastAsia"/>
          <w:b w:val="0"/>
          <w:bCs/>
          <w:sz w:val="24"/>
          <w:szCs w:val="24"/>
          <w:highlight w:val="none"/>
          <w:u w:val="single"/>
        </w:rPr>
        <w:t>元（大写：</w:t>
      </w:r>
      <w:r>
        <w:rPr>
          <w:rFonts w:hint="eastAsia" w:asciiTheme="minorEastAsia" w:hAnsiTheme="minorEastAsia"/>
          <w:b w:val="0"/>
          <w:bCs/>
          <w:sz w:val="24"/>
          <w:szCs w:val="24"/>
          <w:highlight w:val="none"/>
          <w:u w:val="single"/>
          <w:lang w:val="en-US" w:eastAsia="zh-CN"/>
        </w:rPr>
        <w:t>陆佰陆拾万零柒仟伍佰柒拾壹元柒角肆分</w:t>
      </w:r>
      <w:r>
        <w:rPr>
          <w:rFonts w:hint="eastAsia" w:asciiTheme="minorEastAsia" w:hAnsiTheme="minorEastAsia"/>
          <w:b w:val="0"/>
          <w:bCs/>
          <w:sz w:val="24"/>
          <w:szCs w:val="24"/>
          <w:highlight w:val="none"/>
          <w:u w:val="single"/>
        </w:rPr>
        <w:t>）</w:t>
      </w:r>
      <w:r>
        <w:rPr>
          <w:rFonts w:hint="eastAsia" w:asciiTheme="minorEastAsia" w:hAnsiTheme="minorEastAsia"/>
          <w:b w:val="0"/>
          <w:bCs/>
          <w:sz w:val="24"/>
          <w:szCs w:val="24"/>
          <w:highlight w:val="none"/>
          <w:u w:val="single"/>
          <w:lang w:eastAsia="zh-CN"/>
        </w:rPr>
        <w:t>；</w:t>
      </w:r>
    </w:p>
    <w:p>
      <w:pPr>
        <w:spacing w:line="480" w:lineRule="exact"/>
        <w:ind w:firstLine="482" w:firstLineChars="200"/>
        <w:rPr>
          <w:rFonts w:hint="eastAsia" w:asciiTheme="minorEastAsia" w:hAnsiTheme="minorEastAsia"/>
          <w:b w:val="0"/>
          <w:bCs/>
          <w:sz w:val="24"/>
          <w:szCs w:val="24"/>
          <w:highlight w:val="none"/>
          <w:u w:val="single"/>
          <w:lang w:val="en-US" w:eastAsia="zh-CN"/>
        </w:rPr>
      </w:pPr>
      <w:r>
        <w:rPr>
          <w:rFonts w:hint="eastAsia" w:asciiTheme="minorEastAsia" w:hAnsiTheme="minorEastAsia"/>
          <w:b/>
          <w:sz w:val="24"/>
          <w:szCs w:val="24"/>
          <w:highlight w:val="none"/>
        </w:rPr>
        <w:t>最高限价：</w:t>
      </w:r>
      <w:r>
        <w:rPr>
          <w:rFonts w:hint="eastAsia" w:asciiTheme="minorEastAsia" w:hAnsiTheme="minorEastAsia"/>
          <w:b w:val="0"/>
          <w:bCs/>
          <w:sz w:val="24"/>
          <w:szCs w:val="24"/>
          <w:highlight w:val="none"/>
          <w:u w:val="single"/>
          <w:lang w:val="en-US" w:eastAsia="zh-CN"/>
        </w:rPr>
        <w:t>6607571.74元（大写：陆佰陆拾万零柒仟伍佰柒拾壹元柒角肆分）；</w:t>
      </w:r>
    </w:p>
    <w:p>
      <w:pPr>
        <w:spacing w:line="480" w:lineRule="exact"/>
        <w:ind w:firstLine="482" w:firstLineChars="200"/>
        <w:rPr>
          <w:rFonts w:hint="eastAsia" w:asciiTheme="minorEastAsia" w:hAnsiTheme="minorEastAsia"/>
          <w:sz w:val="24"/>
          <w:szCs w:val="24"/>
          <w:highlight w:val="none"/>
          <w:u w:val="single"/>
          <w:lang w:val="en-US" w:eastAsia="zh-CN"/>
        </w:rPr>
      </w:pPr>
      <w:r>
        <w:rPr>
          <w:rFonts w:hint="eastAsia" w:asciiTheme="minorEastAsia" w:hAnsiTheme="minorEastAsia"/>
          <w:b/>
          <w:sz w:val="24"/>
          <w:szCs w:val="24"/>
          <w:highlight w:val="none"/>
        </w:rPr>
        <w:t>采购需求：</w:t>
      </w:r>
      <w:r>
        <w:rPr>
          <w:rFonts w:hint="eastAsia" w:asciiTheme="minorEastAsia" w:hAnsiTheme="minorEastAsia"/>
          <w:sz w:val="24"/>
          <w:szCs w:val="24"/>
          <w:highlight w:val="none"/>
          <w:u w:val="single"/>
          <w:lang w:val="en-US" w:eastAsia="zh-CN"/>
        </w:rPr>
        <w:t>详见附件</w:t>
      </w:r>
    </w:p>
    <w:p>
      <w:pPr>
        <w:spacing w:line="480" w:lineRule="exact"/>
        <w:ind w:firstLine="482" w:firstLineChars="200"/>
        <w:rPr>
          <w:rFonts w:hint="eastAsia" w:eastAsia="宋体" w:asciiTheme="minorEastAsia" w:hAnsiTheme="minorEastAsia"/>
          <w:b/>
          <w:sz w:val="24"/>
          <w:szCs w:val="24"/>
          <w:highlight w:val="none"/>
          <w:lang w:eastAsia="zh-CN"/>
        </w:rPr>
      </w:pPr>
      <w:r>
        <w:rPr>
          <w:rFonts w:hint="eastAsia" w:asciiTheme="minorEastAsia" w:hAnsiTheme="minorEastAsia"/>
          <w:b/>
          <w:sz w:val="24"/>
          <w:szCs w:val="24"/>
          <w:highlight w:val="none"/>
        </w:rPr>
        <w:t>合同履行期限：</w:t>
      </w:r>
      <w:r>
        <w:rPr>
          <w:rFonts w:hint="eastAsia" w:asciiTheme="minorEastAsia" w:hAnsiTheme="minorEastAsia"/>
          <w:b w:val="0"/>
          <w:bCs/>
          <w:sz w:val="24"/>
          <w:szCs w:val="24"/>
          <w:highlight w:val="none"/>
          <w:u w:val="single"/>
        </w:rPr>
        <w:t>本项目建设工期为</w:t>
      </w:r>
      <w:r>
        <w:rPr>
          <w:rFonts w:hint="eastAsia" w:asciiTheme="minorEastAsia" w:hAnsiTheme="minorEastAsia"/>
          <w:b w:val="0"/>
          <w:bCs/>
          <w:sz w:val="24"/>
          <w:szCs w:val="24"/>
          <w:highlight w:val="none"/>
          <w:u w:val="single"/>
          <w:lang w:val="en-US" w:eastAsia="zh-CN"/>
        </w:rPr>
        <w:t>12</w:t>
      </w:r>
      <w:r>
        <w:rPr>
          <w:rFonts w:hint="eastAsia" w:asciiTheme="minorEastAsia" w:hAnsiTheme="minorEastAsia"/>
          <w:b w:val="0"/>
          <w:bCs/>
          <w:sz w:val="24"/>
          <w:szCs w:val="24"/>
          <w:highlight w:val="none"/>
          <w:u w:val="single"/>
        </w:rPr>
        <w:t>个月</w:t>
      </w:r>
      <w:r>
        <w:rPr>
          <w:rFonts w:hint="eastAsia" w:asciiTheme="minorEastAsia" w:hAnsiTheme="minorEastAsia"/>
          <w:b w:val="0"/>
          <w:bCs/>
          <w:sz w:val="24"/>
          <w:szCs w:val="24"/>
          <w:highlight w:val="none"/>
          <w:u w:val="single"/>
          <w:lang w:eastAsia="zh-CN"/>
        </w:rPr>
        <w:t>；</w:t>
      </w:r>
    </w:p>
    <w:p>
      <w:pPr>
        <w:spacing w:line="480" w:lineRule="exact"/>
        <w:ind w:firstLine="480" w:firstLineChars="200"/>
        <w:rPr>
          <w:rFonts w:asciiTheme="minorEastAsia" w:hAnsiTheme="minorEastAsia"/>
          <w:sz w:val="24"/>
          <w:szCs w:val="24"/>
          <w:highlight w:val="none"/>
        </w:rPr>
      </w:pPr>
      <w:r>
        <w:rPr>
          <w:rFonts w:hint="eastAsia" w:asciiTheme="minorEastAsia" w:hAnsiTheme="minorEastAsia"/>
          <w:sz w:val="24"/>
          <w:szCs w:val="24"/>
          <w:highlight w:val="none"/>
        </w:rPr>
        <w:t>本项目</w:t>
      </w:r>
      <w:r>
        <w:rPr>
          <w:rFonts w:hint="eastAsia" w:asciiTheme="minorEastAsia" w:hAnsiTheme="minorEastAsia"/>
          <w:b w:val="0"/>
          <w:bCs w:val="0"/>
          <w:color w:val="auto"/>
          <w:sz w:val="24"/>
          <w:szCs w:val="24"/>
          <w:highlight w:val="none"/>
          <w:u w:val="none"/>
          <w:lang w:val="en-US" w:eastAsia="zh-CN"/>
        </w:rPr>
        <w:t>不</w:t>
      </w:r>
      <w:r>
        <w:rPr>
          <w:rFonts w:hint="eastAsia" w:asciiTheme="minorEastAsia" w:hAnsiTheme="minorEastAsia"/>
          <w:sz w:val="24"/>
          <w:szCs w:val="24"/>
          <w:highlight w:val="none"/>
        </w:rPr>
        <w:t>接受联合体投标。</w:t>
      </w:r>
    </w:p>
    <w:p>
      <w:pPr>
        <w:spacing w:line="480" w:lineRule="exact"/>
        <w:rPr>
          <w:rFonts w:ascii="黑体" w:hAnsi="黑体" w:eastAsia="黑体"/>
          <w:sz w:val="24"/>
          <w:szCs w:val="24"/>
          <w:highlight w:val="none"/>
        </w:rPr>
      </w:pPr>
      <w:r>
        <w:rPr>
          <w:rFonts w:hint="eastAsia" w:ascii="黑体" w:hAnsi="黑体" w:eastAsia="黑体"/>
          <w:sz w:val="24"/>
          <w:szCs w:val="24"/>
          <w:highlight w:val="none"/>
        </w:rPr>
        <w:t>二、申请人的资格要求</w:t>
      </w:r>
    </w:p>
    <w:p>
      <w:pPr>
        <w:spacing w:line="480" w:lineRule="exact"/>
        <w:ind w:firstLine="480" w:firstLineChars="200"/>
        <w:rPr>
          <w:rFonts w:hint="eastAsia" w:asciiTheme="minorEastAsia" w:hAnsiTheme="minorEastAsia"/>
          <w:sz w:val="24"/>
          <w:szCs w:val="24"/>
          <w:highlight w:val="none"/>
        </w:rPr>
      </w:pPr>
      <w:r>
        <w:rPr>
          <w:rFonts w:hint="eastAsia" w:asciiTheme="minorEastAsia" w:hAnsiTheme="minorEastAsia"/>
          <w:sz w:val="24"/>
          <w:szCs w:val="24"/>
          <w:highlight w:val="none"/>
        </w:rPr>
        <w:t>1.满足《中华人民共和国政府采购法》第二十二条规定；</w:t>
      </w:r>
    </w:p>
    <w:p>
      <w:pPr>
        <w:spacing w:line="480" w:lineRule="exact"/>
        <w:ind w:firstLine="480" w:firstLineChars="200"/>
        <w:rPr>
          <w:rFonts w:hint="eastAsia" w:asciiTheme="minorEastAsia" w:hAnsiTheme="minorEastAsia"/>
          <w:sz w:val="24"/>
          <w:szCs w:val="24"/>
          <w:highlight w:val="none"/>
        </w:rPr>
      </w:pPr>
      <w:r>
        <w:rPr>
          <w:rFonts w:hint="eastAsia" w:asciiTheme="minorEastAsia" w:hAnsiTheme="minorEastAsia"/>
          <w:sz w:val="24"/>
          <w:szCs w:val="24"/>
          <w:highlight w:val="none"/>
        </w:rPr>
        <w:t>2.落实政府采购政策需满足的资格要求：</w:t>
      </w:r>
    </w:p>
    <w:p>
      <w:pPr>
        <w:spacing w:line="480" w:lineRule="exact"/>
        <w:ind w:firstLine="480" w:firstLineChars="200"/>
        <w:rPr>
          <w:rFonts w:hint="eastAsia" w:asciiTheme="minorEastAsia" w:hAnsiTheme="minorEastAsia"/>
          <w:sz w:val="24"/>
          <w:szCs w:val="24"/>
          <w:highlight w:val="none"/>
        </w:rPr>
      </w:pPr>
      <w:r>
        <w:rPr>
          <w:rFonts w:hint="eastAsia" w:asciiTheme="minorEastAsia" w:hAnsiTheme="minorEastAsia"/>
          <w:sz w:val="24"/>
          <w:szCs w:val="24"/>
          <w:highlight w:val="none"/>
        </w:rPr>
        <w:t>（1）、按照《财政部发展改革委生态环境部市场监管总局关于调整优化节能产品、环境标志产品政府采购执行机制的通知》（财库〔2019〕9号）相关要求，依据品目清单和认证证书实施政府优先采购和强制采购。</w:t>
      </w:r>
    </w:p>
    <w:p>
      <w:pPr>
        <w:spacing w:line="480" w:lineRule="exact"/>
        <w:ind w:firstLine="480" w:firstLineChars="200"/>
        <w:rPr>
          <w:rFonts w:hint="eastAsia" w:asciiTheme="minorEastAsia" w:hAnsiTheme="minorEastAsia"/>
          <w:sz w:val="24"/>
          <w:szCs w:val="24"/>
          <w:highlight w:val="none"/>
        </w:rPr>
      </w:pPr>
      <w:r>
        <w:rPr>
          <w:rFonts w:hint="eastAsia" w:asciiTheme="minorEastAsia" w:hAnsiTheme="minorEastAsia"/>
          <w:sz w:val="24"/>
          <w:szCs w:val="24"/>
          <w:highlight w:val="none"/>
        </w:rPr>
        <w:t>（2）、鼓励环保政策：《财政部、国家环保总局关于环境标志产品政府采购实施的意见》（财库[2006]90号）；在性能、技术、服务等指标同等条件下，优先采购国家公布的环保产品清单中的产品。</w:t>
      </w:r>
    </w:p>
    <w:p>
      <w:pPr>
        <w:spacing w:line="480" w:lineRule="exact"/>
        <w:ind w:firstLine="480" w:firstLineChars="200"/>
        <w:rPr>
          <w:rFonts w:hint="default" w:eastAsia="宋体" w:asciiTheme="minorEastAsia" w:hAnsiTheme="minorEastAsia"/>
          <w:b/>
          <w:bCs/>
          <w:sz w:val="24"/>
          <w:szCs w:val="24"/>
          <w:highlight w:val="none"/>
          <w:lang w:val="en-US" w:eastAsia="zh-CN"/>
        </w:rPr>
      </w:pPr>
      <w:r>
        <w:rPr>
          <w:rFonts w:hint="eastAsia" w:asciiTheme="minorEastAsia" w:hAnsiTheme="minorEastAsia"/>
          <w:sz w:val="24"/>
          <w:szCs w:val="24"/>
          <w:highlight w:val="none"/>
        </w:rPr>
        <w:t>（3）、扶持中小企业政策：《政府采购促进中小企业发展管理办法》（财库 ﹝2020﹞46 号）；评审时小型和微型企业产品享受10%的价格折扣。</w:t>
      </w:r>
      <w:r>
        <w:rPr>
          <w:rFonts w:hint="eastAsia" w:asciiTheme="minorEastAsia" w:hAnsiTheme="minorEastAsia"/>
          <w:b/>
          <w:bCs/>
          <w:sz w:val="24"/>
          <w:szCs w:val="24"/>
          <w:highlight w:val="none"/>
          <w:lang w:val="en-US" w:eastAsia="zh-CN"/>
        </w:rPr>
        <w:t>本项目非专门面向中小企业，所属行业:信息系统集成类</w:t>
      </w:r>
    </w:p>
    <w:p>
      <w:pPr>
        <w:spacing w:line="480" w:lineRule="exact"/>
        <w:ind w:firstLine="480" w:firstLineChars="200"/>
        <w:rPr>
          <w:rFonts w:hint="eastAsia" w:asciiTheme="minorEastAsia" w:hAnsiTheme="minorEastAsia"/>
          <w:sz w:val="24"/>
          <w:szCs w:val="24"/>
          <w:highlight w:val="none"/>
        </w:rPr>
      </w:pPr>
      <w:r>
        <w:rPr>
          <w:rFonts w:hint="eastAsia" w:asciiTheme="minorEastAsia" w:hAnsiTheme="minorEastAsia"/>
          <w:sz w:val="24"/>
          <w:szCs w:val="24"/>
          <w:highlight w:val="none"/>
        </w:rPr>
        <w:t>（4）、监狱企业政策：《财政部、司法部关于政府采购支持监狱企业发展有关问题的通知》（财库〔2014〕68号）；监狱企业视同小型、微型企业，评审时享受10%的价格折扣。</w:t>
      </w:r>
    </w:p>
    <w:p>
      <w:pPr>
        <w:spacing w:line="480" w:lineRule="exact"/>
        <w:ind w:firstLine="480" w:firstLineChars="200"/>
        <w:rPr>
          <w:rFonts w:hint="eastAsia" w:asciiTheme="minorEastAsia" w:hAnsiTheme="minorEastAsia"/>
          <w:sz w:val="24"/>
          <w:szCs w:val="24"/>
          <w:highlight w:val="none"/>
        </w:rPr>
      </w:pPr>
      <w:r>
        <w:rPr>
          <w:rFonts w:hint="eastAsia" w:asciiTheme="minorEastAsia" w:hAnsiTheme="minorEastAsia"/>
          <w:sz w:val="24"/>
          <w:szCs w:val="24"/>
          <w:highlight w:val="none"/>
        </w:rPr>
        <w:t>（5）、促进残疾人就业采购政策：《民政部、财政部、中国残疾人联合会关于促进残疾人就业政府采购政策的通知》（财库〔2017〕141号），残疾人福利性单位视同小型、微型企业，评审时享受10%的价格折扣。</w:t>
      </w:r>
    </w:p>
    <w:p>
      <w:pPr>
        <w:spacing w:line="480" w:lineRule="exact"/>
        <w:ind w:firstLine="480" w:firstLineChars="200"/>
        <w:rPr>
          <w:rFonts w:hint="eastAsia" w:asciiTheme="minorEastAsia" w:hAnsiTheme="minorEastAsia"/>
          <w:sz w:val="24"/>
          <w:szCs w:val="24"/>
          <w:highlight w:val="none"/>
        </w:rPr>
      </w:pPr>
      <w:r>
        <w:rPr>
          <w:rFonts w:hint="eastAsia" w:asciiTheme="minorEastAsia" w:hAnsiTheme="minorEastAsia"/>
          <w:sz w:val="24"/>
          <w:szCs w:val="24"/>
          <w:highlight w:val="none"/>
        </w:rPr>
        <w:t>（6）、对少数民族地区企业产品或服务给予优先成交资格（若成交候选人在技术、服务及价格等指标同等条件下，少数民族地区优先成交）。供应商须提供注册地为少数民族地区的相关证明材料。</w:t>
      </w:r>
    </w:p>
    <w:p>
      <w:pPr>
        <w:spacing w:line="480" w:lineRule="exact"/>
        <w:ind w:firstLine="480" w:firstLineChars="200"/>
        <w:rPr>
          <w:rFonts w:hint="eastAsia" w:asciiTheme="minorEastAsia" w:hAnsiTheme="minorEastAsia"/>
          <w:sz w:val="24"/>
          <w:szCs w:val="24"/>
          <w:highlight w:val="none"/>
        </w:rPr>
      </w:pPr>
      <w:r>
        <w:rPr>
          <w:rFonts w:hint="eastAsia" w:asciiTheme="minorEastAsia" w:hAnsiTheme="minorEastAsia"/>
          <w:sz w:val="24"/>
          <w:szCs w:val="24"/>
          <w:highlight w:val="none"/>
        </w:rPr>
        <w:t>（7）、民营经济扶持政策：按照眉山市财政局《关于贯彻落实“政采贷”工作的通知》（眉财采〔2019〕3 号）文件要求，本项目支持“政采贷”信用融资贷款。“政采贷”产品信息查询渠道详见“四川政府采购网（www.ccgp-sichuan.gov.cn）”—“相关模块”—“政采贷”。</w:t>
      </w:r>
    </w:p>
    <w:p>
      <w:pPr>
        <w:spacing w:line="480" w:lineRule="exact"/>
        <w:ind w:firstLine="480" w:firstLineChars="200"/>
        <w:rPr>
          <w:rFonts w:hint="eastAsia" w:eastAsia="宋体" w:cs="宋体" w:asciiTheme="minorEastAsia" w:hAnsiTheme="minorEastAsia"/>
          <w:color w:val="FF0000"/>
          <w:kern w:val="0"/>
          <w:sz w:val="24"/>
          <w:szCs w:val="24"/>
          <w:highlight w:val="none"/>
          <w:u w:val="single"/>
          <w:lang w:val="zh-CN" w:eastAsia="zh-CN"/>
        </w:rPr>
      </w:pPr>
      <w:r>
        <w:rPr>
          <w:rFonts w:hint="eastAsia" w:asciiTheme="minorEastAsia" w:hAnsiTheme="minorEastAsia"/>
          <w:sz w:val="24"/>
          <w:szCs w:val="24"/>
          <w:highlight w:val="none"/>
        </w:rPr>
        <w:t>3.本项目的特定资格要求：</w:t>
      </w:r>
      <w:r>
        <w:rPr>
          <w:rFonts w:hint="eastAsia" w:cs="宋体" w:asciiTheme="minorEastAsia" w:hAnsiTheme="minorEastAsia"/>
          <w:color w:val="FF0000"/>
          <w:kern w:val="0"/>
          <w:sz w:val="24"/>
          <w:szCs w:val="24"/>
          <w:highlight w:val="none"/>
          <w:u w:val="single"/>
          <w:lang w:val="en-US" w:eastAsia="zh-CN"/>
        </w:rPr>
        <w:t>/</w:t>
      </w:r>
    </w:p>
    <w:p>
      <w:pPr>
        <w:spacing w:line="480" w:lineRule="exact"/>
        <w:rPr>
          <w:rFonts w:ascii="黑体" w:hAnsi="黑体" w:eastAsia="黑体"/>
          <w:sz w:val="24"/>
          <w:szCs w:val="24"/>
          <w:highlight w:val="none"/>
        </w:rPr>
      </w:pPr>
      <w:r>
        <w:rPr>
          <w:rFonts w:hint="eastAsia" w:ascii="黑体" w:hAnsi="黑体" w:eastAsia="黑体"/>
          <w:sz w:val="24"/>
          <w:szCs w:val="24"/>
          <w:highlight w:val="none"/>
        </w:rPr>
        <w:t>三、获取招标文件</w:t>
      </w:r>
    </w:p>
    <w:p>
      <w:pPr>
        <w:spacing w:line="480" w:lineRule="exact"/>
        <w:ind w:firstLine="482" w:firstLineChars="200"/>
        <w:rPr>
          <w:rFonts w:asciiTheme="minorEastAsia" w:hAnsiTheme="minorEastAsia"/>
          <w:sz w:val="24"/>
          <w:szCs w:val="24"/>
          <w:highlight w:val="none"/>
        </w:rPr>
      </w:pPr>
      <w:r>
        <w:rPr>
          <w:rFonts w:hint="eastAsia" w:asciiTheme="minorEastAsia" w:hAnsiTheme="minorEastAsia"/>
          <w:b/>
          <w:sz w:val="24"/>
          <w:szCs w:val="24"/>
          <w:highlight w:val="none"/>
        </w:rPr>
        <w:t>时间：</w:t>
      </w:r>
      <w:r>
        <w:rPr>
          <w:rFonts w:hint="eastAsia" w:cs="宋体" w:asciiTheme="minorEastAsia" w:hAnsiTheme="minorEastAsia"/>
          <w:color w:val="0000FF"/>
          <w:kern w:val="0"/>
          <w:sz w:val="24"/>
          <w:szCs w:val="24"/>
          <w:highlight w:val="none"/>
          <w:u w:val="single"/>
          <w:lang w:val="en-US" w:eastAsia="zh-CN"/>
        </w:rPr>
        <w:t>2021</w:t>
      </w:r>
      <w:r>
        <w:rPr>
          <w:rFonts w:hint="eastAsia" w:asciiTheme="minorEastAsia" w:hAnsiTheme="minorEastAsia"/>
          <w:color w:val="0000FF"/>
          <w:sz w:val="24"/>
          <w:szCs w:val="24"/>
          <w:highlight w:val="none"/>
        </w:rPr>
        <w:t>年</w:t>
      </w:r>
      <w:r>
        <w:rPr>
          <w:rFonts w:hint="eastAsia" w:cs="宋体" w:asciiTheme="minorEastAsia" w:hAnsiTheme="minorEastAsia"/>
          <w:color w:val="0000FF"/>
          <w:kern w:val="0"/>
          <w:sz w:val="24"/>
          <w:szCs w:val="24"/>
          <w:highlight w:val="none"/>
          <w:u w:val="single"/>
          <w:lang w:val="en-US" w:eastAsia="zh-CN"/>
        </w:rPr>
        <w:t>11</w:t>
      </w:r>
      <w:r>
        <w:rPr>
          <w:rFonts w:hint="eastAsia" w:asciiTheme="minorEastAsia" w:hAnsiTheme="minorEastAsia"/>
          <w:color w:val="0000FF"/>
          <w:sz w:val="24"/>
          <w:szCs w:val="24"/>
          <w:highlight w:val="none"/>
        </w:rPr>
        <w:t>月</w:t>
      </w:r>
      <w:r>
        <w:rPr>
          <w:rFonts w:hint="eastAsia" w:cs="宋体" w:asciiTheme="minorEastAsia" w:hAnsiTheme="minorEastAsia"/>
          <w:color w:val="0000FF"/>
          <w:kern w:val="0"/>
          <w:sz w:val="24"/>
          <w:szCs w:val="24"/>
          <w:highlight w:val="none"/>
          <w:u w:val="single"/>
          <w:lang w:val="en-US" w:eastAsia="zh-CN"/>
        </w:rPr>
        <w:t>03</w:t>
      </w:r>
      <w:r>
        <w:rPr>
          <w:rFonts w:hint="eastAsia" w:asciiTheme="minorEastAsia" w:hAnsiTheme="minorEastAsia"/>
          <w:color w:val="0000FF"/>
          <w:sz w:val="24"/>
          <w:szCs w:val="24"/>
          <w:highlight w:val="none"/>
        </w:rPr>
        <w:t>日</w:t>
      </w:r>
      <w:r>
        <w:rPr>
          <w:rFonts w:hint="eastAsia" w:cs="宋体" w:asciiTheme="minorEastAsia" w:hAnsiTheme="minorEastAsia"/>
          <w:color w:val="0000FF"/>
          <w:kern w:val="0"/>
          <w:sz w:val="24"/>
          <w:szCs w:val="24"/>
          <w:highlight w:val="none"/>
          <w:u w:val="single"/>
          <w:lang w:val="zh-CN"/>
        </w:rPr>
        <w:t>09</w:t>
      </w:r>
      <w:r>
        <w:rPr>
          <w:rFonts w:hint="eastAsia" w:asciiTheme="minorEastAsia" w:hAnsiTheme="minorEastAsia"/>
          <w:color w:val="0000FF"/>
          <w:sz w:val="24"/>
          <w:szCs w:val="24"/>
          <w:highlight w:val="none"/>
        </w:rPr>
        <w:t>时至</w:t>
      </w:r>
      <w:r>
        <w:rPr>
          <w:rFonts w:hint="eastAsia" w:cs="宋体" w:asciiTheme="minorEastAsia" w:hAnsiTheme="minorEastAsia"/>
          <w:color w:val="0000FF"/>
          <w:kern w:val="0"/>
          <w:sz w:val="24"/>
          <w:szCs w:val="24"/>
          <w:highlight w:val="none"/>
          <w:u w:val="single"/>
          <w:lang w:val="en-US" w:eastAsia="zh-CN"/>
        </w:rPr>
        <w:t>2021</w:t>
      </w:r>
      <w:r>
        <w:rPr>
          <w:rFonts w:hint="eastAsia" w:asciiTheme="minorEastAsia" w:hAnsiTheme="minorEastAsia"/>
          <w:color w:val="0000FF"/>
          <w:sz w:val="24"/>
          <w:szCs w:val="24"/>
          <w:highlight w:val="none"/>
        </w:rPr>
        <w:t>年</w:t>
      </w:r>
      <w:r>
        <w:rPr>
          <w:rFonts w:hint="eastAsia" w:cs="宋体" w:asciiTheme="minorEastAsia" w:hAnsiTheme="minorEastAsia"/>
          <w:color w:val="0000FF"/>
          <w:kern w:val="0"/>
          <w:sz w:val="24"/>
          <w:szCs w:val="24"/>
          <w:highlight w:val="none"/>
          <w:u w:val="single"/>
          <w:lang w:val="en-US" w:eastAsia="zh-CN"/>
        </w:rPr>
        <w:t>11</w:t>
      </w:r>
      <w:r>
        <w:rPr>
          <w:rFonts w:hint="eastAsia" w:asciiTheme="minorEastAsia" w:hAnsiTheme="minorEastAsia"/>
          <w:color w:val="0000FF"/>
          <w:sz w:val="24"/>
          <w:szCs w:val="24"/>
          <w:highlight w:val="none"/>
        </w:rPr>
        <w:t>月</w:t>
      </w:r>
      <w:r>
        <w:rPr>
          <w:rFonts w:hint="eastAsia" w:cs="宋体" w:asciiTheme="minorEastAsia" w:hAnsiTheme="minorEastAsia"/>
          <w:color w:val="0000FF"/>
          <w:kern w:val="0"/>
          <w:sz w:val="24"/>
          <w:szCs w:val="24"/>
          <w:highlight w:val="none"/>
          <w:u w:val="single"/>
          <w:lang w:val="en-US" w:eastAsia="zh-CN"/>
        </w:rPr>
        <w:t>09</w:t>
      </w:r>
      <w:r>
        <w:rPr>
          <w:rFonts w:hint="eastAsia" w:asciiTheme="minorEastAsia" w:hAnsiTheme="minorEastAsia"/>
          <w:color w:val="0000FF"/>
          <w:sz w:val="24"/>
          <w:szCs w:val="24"/>
          <w:highlight w:val="none"/>
        </w:rPr>
        <w:t>日</w:t>
      </w:r>
      <w:r>
        <w:rPr>
          <w:rFonts w:hint="eastAsia" w:cs="宋体" w:asciiTheme="minorEastAsia" w:hAnsiTheme="minorEastAsia"/>
          <w:color w:val="0000FF"/>
          <w:kern w:val="0"/>
          <w:sz w:val="24"/>
          <w:szCs w:val="24"/>
          <w:highlight w:val="none"/>
          <w:u w:val="single"/>
          <w:lang w:val="zh-CN"/>
        </w:rPr>
        <w:t>17</w:t>
      </w:r>
      <w:r>
        <w:rPr>
          <w:rFonts w:hint="eastAsia" w:asciiTheme="minorEastAsia" w:hAnsiTheme="minorEastAsia"/>
          <w:color w:val="0000FF"/>
          <w:sz w:val="24"/>
          <w:szCs w:val="24"/>
          <w:highlight w:val="none"/>
        </w:rPr>
        <w:t>时</w:t>
      </w:r>
      <w:r>
        <w:rPr>
          <w:rFonts w:hint="eastAsia" w:asciiTheme="minorEastAsia" w:hAnsiTheme="minorEastAsia"/>
          <w:sz w:val="24"/>
          <w:szCs w:val="24"/>
          <w:highlight w:val="none"/>
        </w:rPr>
        <w:t>。</w:t>
      </w:r>
    </w:p>
    <w:p>
      <w:pPr>
        <w:spacing w:line="480" w:lineRule="exact"/>
        <w:ind w:firstLine="482" w:firstLineChars="200"/>
        <w:rPr>
          <w:rFonts w:asciiTheme="minorEastAsia" w:hAnsiTheme="minorEastAsia"/>
          <w:sz w:val="24"/>
          <w:szCs w:val="24"/>
          <w:highlight w:val="none"/>
        </w:rPr>
      </w:pPr>
      <w:r>
        <w:rPr>
          <w:rFonts w:hint="eastAsia" w:asciiTheme="minorEastAsia" w:hAnsiTheme="minorEastAsia"/>
          <w:b/>
          <w:sz w:val="24"/>
          <w:szCs w:val="24"/>
          <w:highlight w:val="none"/>
        </w:rPr>
        <w:t>地点：眉山市东坡区眉州大道东三段186号（阳光天天向上5栋1单元1103号）</w:t>
      </w:r>
      <w:r>
        <w:rPr>
          <w:rFonts w:hint="eastAsia" w:hAnsi="宋体" w:cs="宋体"/>
          <w:color w:val="auto"/>
          <w:sz w:val="24"/>
          <w:szCs w:val="24"/>
          <w:highlight w:val="none"/>
        </w:rPr>
        <w:t>。</w:t>
      </w:r>
    </w:p>
    <w:p>
      <w:pPr>
        <w:spacing w:line="480" w:lineRule="exact"/>
        <w:ind w:firstLine="482" w:firstLineChars="200"/>
        <w:rPr>
          <w:rFonts w:asciiTheme="minorEastAsia" w:hAnsiTheme="minorEastAsia"/>
          <w:b/>
          <w:sz w:val="24"/>
          <w:szCs w:val="24"/>
          <w:highlight w:val="none"/>
        </w:rPr>
      </w:pPr>
      <w:r>
        <w:rPr>
          <w:rFonts w:hint="eastAsia" w:asciiTheme="minorEastAsia" w:hAnsiTheme="minorEastAsia"/>
          <w:b/>
          <w:sz w:val="24"/>
          <w:szCs w:val="24"/>
          <w:highlight w:val="none"/>
        </w:rPr>
        <w:t>方式：</w:t>
      </w:r>
    </w:p>
    <w:p>
      <w:pPr>
        <w:spacing w:line="600" w:lineRule="exact"/>
        <w:ind w:firstLine="480" w:firstLineChars="200"/>
        <w:rPr>
          <w:rFonts w:hint="eastAsia"/>
          <w:color w:val="000000"/>
          <w:sz w:val="24"/>
        </w:rPr>
      </w:pPr>
      <w:r>
        <w:rPr>
          <w:rFonts w:hint="eastAsia"/>
          <w:color w:val="000000"/>
          <w:sz w:val="24"/>
        </w:rPr>
        <w:t>（1）现场报名</w:t>
      </w:r>
      <w:r>
        <w:rPr>
          <w:rFonts w:hint="eastAsia"/>
          <w:b/>
          <w:bCs/>
          <w:color w:val="000000"/>
          <w:sz w:val="24"/>
        </w:rPr>
        <w:t>：</w:t>
      </w:r>
      <w:r>
        <w:rPr>
          <w:rFonts w:hint="eastAsia"/>
          <w:color w:val="000000"/>
          <w:sz w:val="24"/>
        </w:rPr>
        <w:t>供应商购买采购文件时应出示针对本项目的单位介绍信原件(须注明采购项目名称、采购编号、联系人、联系电话及电子邮箱)、加盖投标单位公章的经办人身份证复印件并出示身份证原件。</w:t>
      </w:r>
    </w:p>
    <w:p>
      <w:pPr>
        <w:pStyle w:val="56"/>
        <w:spacing w:line="600" w:lineRule="exact"/>
        <w:ind w:firstLine="480" w:firstLineChars="200"/>
        <w:jc w:val="both"/>
        <w:rPr>
          <w:rFonts w:hint="eastAsia"/>
        </w:rPr>
      </w:pPr>
      <w:r>
        <w:rPr>
          <w:rFonts w:hint="eastAsia"/>
        </w:rPr>
        <w:t>（2）网络报名：登录四川中岚工程项目管理有限公司官网（http://www.sczlgl.com）进行会员注册并上传报名表和介绍信等相关资料（报名表模板位于首页里面的下载专区），审核通过后报名成功，未上传报名资料则报名失败。如有问题请致电028-38109839咨询。</w:t>
      </w:r>
    </w:p>
    <w:p>
      <w:pPr>
        <w:spacing w:line="600" w:lineRule="exact"/>
        <w:ind w:firstLine="482" w:firstLineChars="200"/>
        <w:rPr>
          <w:rFonts w:hint="eastAsia"/>
          <w:b/>
          <w:bCs/>
          <w:color w:val="000000"/>
          <w:sz w:val="24"/>
        </w:rPr>
      </w:pPr>
      <w:r>
        <w:rPr>
          <w:rFonts w:hint="eastAsia"/>
          <w:b/>
          <w:bCs/>
          <w:color w:val="000000"/>
          <w:sz w:val="24"/>
        </w:rPr>
        <w:t>供应商购买采购文件时须如实认真填写项目信息及供应商信息；若因供应商提供的错误信息，对其投标事宜造成影响的，由供应商自行承担所有责任(若供应商需变更报名信息，请于获取招标文件截止之日前到采购代理机构重新登记)。</w:t>
      </w:r>
    </w:p>
    <w:p>
      <w:pPr>
        <w:spacing w:line="480" w:lineRule="exact"/>
        <w:ind w:firstLine="482" w:firstLineChars="200"/>
        <w:rPr>
          <w:rFonts w:asciiTheme="minorEastAsia" w:hAnsiTheme="minorEastAsia"/>
          <w:sz w:val="24"/>
          <w:szCs w:val="24"/>
          <w:highlight w:val="none"/>
        </w:rPr>
      </w:pPr>
      <w:r>
        <w:rPr>
          <w:rFonts w:hint="eastAsia" w:asciiTheme="minorEastAsia" w:hAnsiTheme="minorEastAsia"/>
          <w:b/>
          <w:sz w:val="24"/>
          <w:szCs w:val="24"/>
          <w:highlight w:val="none"/>
        </w:rPr>
        <w:t>售价：</w:t>
      </w:r>
      <w:r>
        <w:rPr>
          <w:rFonts w:hint="eastAsia" w:asciiTheme="minorEastAsia" w:hAnsiTheme="minorEastAsia"/>
          <w:color w:val="auto"/>
          <w:sz w:val="24"/>
          <w:szCs w:val="24"/>
          <w:highlight w:val="none"/>
        </w:rPr>
        <w:t>0元</w:t>
      </w:r>
      <w:r>
        <w:rPr>
          <w:rFonts w:hint="eastAsia" w:asciiTheme="minorEastAsia" w:hAnsiTheme="minorEastAsia"/>
          <w:sz w:val="24"/>
          <w:szCs w:val="24"/>
          <w:highlight w:val="none"/>
        </w:rPr>
        <w:t>。</w:t>
      </w:r>
    </w:p>
    <w:p>
      <w:pPr>
        <w:spacing w:line="480" w:lineRule="exact"/>
        <w:rPr>
          <w:rFonts w:ascii="黑体" w:hAnsi="黑体" w:eastAsia="黑体"/>
          <w:sz w:val="24"/>
          <w:szCs w:val="24"/>
          <w:highlight w:val="none"/>
        </w:rPr>
      </w:pPr>
      <w:r>
        <w:rPr>
          <w:rFonts w:hint="eastAsia" w:ascii="黑体" w:hAnsi="黑体" w:eastAsia="黑体"/>
          <w:sz w:val="24"/>
          <w:szCs w:val="24"/>
          <w:highlight w:val="none"/>
        </w:rPr>
        <w:t>四、提交投标文件截止时间、开标时间和地点。</w:t>
      </w:r>
    </w:p>
    <w:p>
      <w:pPr>
        <w:spacing w:line="480" w:lineRule="exact"/>
        <w:rPr>
          <w:rFonts w:asciiTheme="minorEastAsia" w:hAnsiTheme="minorEastAsia"/>
          <w:color w:val="00B0F0"/>
          <w:sz w:val="24"/>
          <w:szCs w:val="24"/>
          <w:highlight w:val="none"/>
        </w:rPr>
      </w:pPr>
      <w:r>
        <w:rPr>
          <w:rFonts w:hint="eastAsia" w:asciiTheme="minorEastAsia" w:hAnsiTheme="minorEastAsia"/>
          <w:b/>
          <w:sz w:val="24"/>
          <w:szCs w:val="24"/>
          <w:highlight w:val="none"/>
        </w:rPr>
        <w:t xml:space="preserve"> 时间：</w:t>
      </w:r>
      <w:r>
        <w:rPr>
          <w:rFonts w:hint="eastAsia" w:cs="宋体" w:asciiTheme="minorEastAsia" w:hAnsiTheme="minorEastAsia"/>
          <w:color w:val="2416DA"/>
          <w:kern w:val="0"/>
          <w:sz w:val="24"/>
          <w:szCs w:val="24"/>
          <w:highlight w:val="none"/>
          <w:u w:val="single"/>
          <w:lang w:val="en-US" w:eastAsia="zh-CN"/>
        </w:rPr>
        <w:t>2021</w:t>
      </w:r>
      <w:r>
        <w:rPr>
          <w:rFonts w:hint="eastAsia" w:asciiTheme="minorEastAsia" w:hAnsiTheme="minorEastAsia"/>
          <w:color w:val="2416DA"/>
          <w:sz w:val="24"/>
          <w:szCs w:val="24"/>
          <w:highlight w:val="none"/>
        </w:rPr>
        <w:t>年</w:t>
      </w:r>
      <w:r>
        <w:rPr>
          <w:rFonts w:hint="eastAsia" w:cs="宋体" w:asciiTheme="minorEastAsia" w:hAnsiTheme="minorEastAsia"/>
          <w:color w:val="2416DA"/>
          <w:kern w:val="0"/>
          <w:sz w:val="24"/>
          <w:szCs w:val="24"/>
          <w:highlight w:val="none"/>
          <w:u w:val="single"/>
          <w:lang w:val="en-US" w:eastAsia="zh-CN"/>
        </w:rPr>
        <w:t>11</w:t>
      </w:r>
      <w:r>
        <w:rPr>
          <w:rFonts w:hint="eastAsia" w:asciiTheme="minorEastAsia" w:hAnsiTheme="minorEastAsia"/>
          <w:color w:val="2416DA"/>
          <w:sz w:val="24"/>
          <w:szCs w:val="24"/>
          <w:highlight w:val="none"/>
        </w:rPr>
        <w:t>月</w:t>
      </w:r>
      <w:r>
        <w:rPr>
          <w:rFonts w:hint="eastAsia" w:cs="宋体" w:asciiTheme="minorEastAsia" w:hAnsiTheme="minorEastAsia"/>
          <w:color w:val="2416DA"/>
          <w:kern w:val="0"/>
          <w:sz w:val="24"/>
          <w:szCs w:val="24"/>
          <w:highlight w:val="none"/>
          <w:u w:val="single"/>
          <w:lang w:val="en-US" w:eastAsia="zh-CN"/>
        </w:rPr>
        <w:t>23</w:t>
      </w:r>
      <w:r>
        <w:rPr>
          <w:rFonts w:hint="eastAsia" w:asciiTheme="minorEastAsia" w:hAnsiTheme="minorEastAsia"/>
          <w:color w:val="2416DA"/>
          <w:sz w:val="24"/>
          <w:szCs w:val="24"/>
          <w:highlight w:val="none"/>
        </w:rPr>
        <w:t>日</w:t>
      </w:r>
      <w:r>
        <w:rPr>
          <w:rFonts w:hint="eastAsia" w:cs="宋体" w:asciiTheme="minorEastAsia" w:hAnsiTheme="minorEastAsia"/>
          <w:color w:val="2416DA"/>
          <w:kern w:val="0"/>
          <w:sz w:val="24"/>
          <w:szCs w:val="24"/>
          <w:highlight w:val="none"/>
          <w:u w:val="single"/>
          <w:lang w:val="en-US" w:eastAsia="zh-CN"/>
        </w:rPr>
        <w:t>14</w:t>
      </w:r>
      <w:r>
        <w:rPr>
          <w:rFonts w:hint="eastAsia" w:asciiTheme="minorEastAsia" w:hAnsiTheme="minorEastAsia"/>
          <w:color w:val="2416DA"/>
          <w:sz w:val="24"/>
          <w:szCs w:val="24"/>
          <w:highlight w:val="none"/>
        </w:rPr>
        <w:t>点</w:t>
      </w:r>
      <w:r>
        <w:rPr>
          <w:rFonts w:hint="eastAsia" w:cs="宋体" w:asciiTheme="minorEastAsia" w:hAnsiTheme="minorEastAsia"/>
          <w:color w:val="2416DA"/>
          <w:kern w:val="0"/>
          <w:sz w:val="24"/>
          <w:szCs w:val="24"/>
          <w:highlight w:val="none"/>
          <w:u w:val="single"/>
          <w:lang w:val="en-US" w:eastAsia="zh-CN"/>
        </w:rPr>
        <w:t>30</w:t>
      </w:r>
      <w:r>
        <w:rPr>
          <w:rFonts w:hint="eastAsia" w:asciiTheme="minorEastAsia" w:hAnsiTheme="minorEastAsia"/>
          <w:color w:val="2416DA"/>
          <w:sz w:val="24"/>
          <w:szCs w:val="24"/>
          <w:highlight w:val="none"/>
        </w:rPr>
        <w:t>分（北京时间）。</w:t>
      </w:r>
    </w:p>
    <w:p>
      <w:pPr>
        <w:spacing w:line="480" w:lineRule="exact"/>
        <w:ind w:firstLine="482" w:firstLineChars="200"/>
        <w:rPr>
          <w:rFonts w:asciiTheme="minorEastAsia" w:hAnsiTheme="minorEastAsia"/>
          <w:sz w:val="24"/>
          <w:szCs w:val="24"/>
          <w:highlight w:val="none"/>
        </w:rPr>
      </w:pPr>
      <w:r>
        <w:rPr>
          <w:rFonts w:hint="eastAsia" w:asciiTheme="minorEastAsia" w:hAnsiTheme="minorEastAsia"/>
          <w:b/>
          <w:sz w:val="24"/>
          <w:szCs w:val="24"/>
          <w:highlight w:val="none"/>
        </w:rPr>
        <w:t>地点：眉山市东坡区眉州大道东三段186号（阳光天天向上5栋1单元1103号）。</w:t>
      </w:r>
    </w:p>
    <w:p>
      <w:pPr>
        <w:spacing w:line="480" w:lineRule="exact"/>
        <w:rPr>
          <w:rFonts w:ascii="黑体" w:hAnsi="黑体" w:eastAsia="黑体"/>
          <w:sz w:val="24"/>
          <w:szCs w:val="24"/>
          <w:highlight w:val="none"/>
        </w:rPr>
      </w:pPr>
      <w:r>
        <w:rPr>
          <w:rFonts w:hint="eastAsia" w:ascii="黑体" w:hAnsi="黑体" w:eastAsia="黑体"/>
          <w:sz w:val="24"/>
          <w:szCs w:val="24"/>
          <w:highlight w:val="none"/>
        </w:rPr>
        <w:t>五、公告期限</w:t>
      </w:r>
    </w:p>
    <w:p>
      <w:pPr>
        <w:spacing w:line="480" w:lineRule="exact"/>
        <w:ind w:firstLine="480" w:firstLineChars="200"/>
        <w:rPr>
          <w:rFonts w:asciiTheme="minorEastAsia" w:hAnsiTheme="minorEastAsia"/>
          <w:sz w:val="24"/>
          <w:szCs w:val="24"/>
          <w:highlight w:val="none"/>
        </w:rPr>
      </w:pPr>
      <w:r>
        <w:rPr>
          <w:rFonts w:hint="eastAsia" w:asciiTheme="minorEastAsia" w:hAnsiTheme="minorEastAsia"/>
          <w:sz w:val="24"/>
          <w:szCs w:val="24"/>
          <w:highlight w:val="none"/>
        </w:rPr>
        <w:t>自本公告发布之日起5个工作日。</w:t>
      </w:r>
    </w:p>
    <w:p>
      <w:pPr>
        <w:spacing w:line="480" w:lineRule="exact"/>
        <w:rPr>
          <w:rFonts w:ascii="黑体" w:hAnsi="黑体" w:eastAsia="黑体"/>
          <w:sz w:val="24"/>
          <w:szCs w:val="24"/>
          <w:highlight w:val="none"/>
        </w:rPr>
      </w:pPr>
      <w:r>
        <w:rPr>
          <w:rFonts w:hint="eastAsia" w:ascii="黑体" w:hAnsi="黑体" w:eastAsia="黑体"/>
          <w:sz w:val="24"/>
          <w:szCs w:val="24"/>
          <w:highlight w:val="none"/>
        </w:rPr>
        <w:t>六、其他补充事宜</w:t>
      </w:r>
    </w:p>
    <w:p>
      <w:pPr>
        <w:pStyle w:val="42"/>
        <w:widowControl w:val="0"/>
        <w:spacing w:line="480" w:lineRule="exact"/>
        <w:ind w:firstLine="480" w:firstLineChars="200"/>
        <w:jc w:val="both"/>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w:t>
      </w:r>
      <w:r>
        <w:rPr>
          <w:rFonts w:hint="eastAsia" w:cs="宋体" w:asciiTheme="minorEastAsia" w:hAnsiTheme="minorEastAsia" w:eastAsiaTheme="minorEastAsia"/>
          <w:b/>
          <w:color w:val="FF0000"/>
          <w:sz w:val="24"/>
          <w:szCs w:val="24"/>
          <w:highlight w:val="none"/>
          <w:lang w:val="en-US" w:eastAsia="zh-CN"/>
        </w:rPr>
        <w:t>本项目接受石油、石化、电力、电信、保险、银行等行业有特殊情况的分公司参加投标。</w:t>
      </w:r>
    </w:p>
    <w:p>
      <w:pPr>
        <w:pStyle w:val="42"/>
        <w:widowControl w:val="0"/>
        <w:spacing w:line="480" w:lineRule="exact"/>
        <w:ind w:firstLine="480" w:firstLineChars="200"/>
        <w:jc w:val="both"/>
        <w:rPr>
          <w:rFonts w:asciiTheme="minorEastAsia" w:hAnsiTheme="minorEastAsia"/>
          <w:sz w:val="24"/>
          <w:szCs w:val="24"/>
          <w:highlight w:val="none"/>
        </w:rPr>
      </w:pPr>
      <w:r>
        <w:rPr>
          <w:rFonts w:hint="eastAsia" w:ascii="宋体" w:hAnsi="宋体" w:eastAsia="宋体" w:cs="宋体"/>
          <w:sz w:val="24"/>
          <w:szCs w:val="24"/>
          <w:highlight w:val="none"/>
          <w:lang w:val="en-US" w:eastAsia="zh-CN"/>
        </w:rPr>
        <w:t>2.</w:t>
      </w:r>
      <w:r>
        <w:rPr>
          <w:rFonts w:hint="eastAsia" w:ascii="宋体" w:hAnsi="宋体" w:cs="宋体"/>
          <w:sz w:val="24"/>
          <w:szCs w:val="24"/>
          <w:highlight w:val="none"/>
          <w:lang w:val="zh-CN"/>
        </w:rPr>
        <w:t>本次</w:t>
      </w:r>
      <w:r>
        <w:rPr>
          <w:rFonts w:hint="eastAsia" w:ascii="宋体" w:hAnsi="宋体" w:eastAsia="宋体" w:cs="宋体"/>
          <w:sz w:val="24"/>
          <w:szCs w:val="24"/>
          <w:highlight w:val="none"/>
          <w:lang w:val="en-US" w:eastAsia="zh-CN"/>
        </w:rPr>
        <w:t>公告</w:t>
      </w:r>
      <w:r>
        <w:rPr>
          <w:rFonts w:hint="eastAsia" w:ascii="宋体" w:hAnsi="宋体" w:cs="宋体"/>
          <w:sz w:val="24"/>
          <w:szCs w:val="24"/>
          <w:highlight w:val="none"/>
          <w:lang w:val="zh-CN"/>
        </w:rPr>
        <w:t>在眉山市政府采购网、四川政府采购网(http://www.ccgp-sichuan.gov.cn)、四川中岚工程项目管理有限公司官网（http://www.sczlgl.com）上以公告形式发布</w:t>
      </w:r>
      <w:r>
        <w:rPr>
          <w:rFonts w:hint="eastAsia" w:asciiTheme="minorEastAsia" w:hAnsiTheme="minorEastAsia"/>
          <w:bCs/>
          <w:sz w:val="24"/>
          <w:szCs w:val="24"/>
          <w:highlight w:val="none"/>
        </w:rPr>
        <w:t>。</w:t>
      </w:r>
    </w:p>
    <w:p>
      <w:pPr>
        <w:spacing w:line="480" w:lineRule="exact"/>
        <w:rPr>
          <w:rFonts w:ascii="黑体" w:hAnsi="黑体" w:eastAsia="黑体"/>
          <w:sz w:val="24"/>
          <w:szCs w:val="24"/>
          <w:highlight w:val="none"/>
        </w:rPr>
      </w:pPr>
      <w:r>
        <w:rPr>
          <w:rFonts w:hint="eastAsia" w:ascii="黑体" w:hAnsi="黑体" w:eastAsia="黑体"/>
          <w:sz w:val="24"/>
          <w:szCs w:val="24"/>
          <w:highlight w:val="none"/>
        </w:rPr>
        <w:t>七、对本次招标提出询问质疑请按以下方式联系。</w:t>
      </w:r>
    </w:p>
    <w:p>
      <w:pPr>
        <w:spacing w:line="480" w:lineRule="exact"/>
        <w:rPr>
          <w:rFonts w:asciiTheme="minorEastAsia" w:hAnsiTheme="minorEastAsia"/>
          <w:sz w:val="24"/>
          <w:szCs w:val="24"/>
          <w:highlight w:val="none"/>
        </w:rPr>
      </w:pPr>
      <w:r>
        <w:rPr>
          <w:rFonts w:hint="eastAsia" w:asciiTheme="minorEastAsia" w:hAnsiTheme="minorEastAsia"/>
          <w:sz w:val="24"/>
          <w:szCs w:val="24"/>
          <w:highlight w:val="none"/>
        </w:rPr>
        <w:t>1.采购人信息</w:t>
      </w:r>
    </w:p>
    <w:p>
      <w:pPr>
        <w:spacing w:line="480" w:lineRule="exact"/>
        <w:ind w:firstLine="482" w:firstLineChars="200"/>
        <w:rPr>
          <w:rFonts w:asciiTheme="minorEastAsia" w:hAnsiTheme="minorEastAsia"/>
          <w:sz w:val="24"/>
          <w:szCs w:val="24"/>
          <w:highlight w:val="none"/>
        </w:rPr>
      </w:pPr>
      <w:r>
        <w:rPr>
          <w:rFonts w:hint="eastAsia" w:asciiTheme="minorEastAsia" w:hAnsiTheme="minorEastAsia"/>
          <w:b/>
          <w:sz w:val="24"/>
          <w:szCs w:val="24"/>
          <w:highlight w:val="none"/>
        </w:rPr>
        <w:t>名 称：</w:t>
      </w:r>
      <w:r>
        <w:rPr>
          <w:rFonts w:hint="eastAsia" w:asciiTheme="minorEastAsia" w:hAnsiTheme="minorEastAsia"/>
          <w:b/>
          <w:sz w:val="24"/>
          <w:szCs w:val="24"/>
          <w:highlight w:val="none"/>
          <w:u w:val="single"/>
          <w:lang w:val="zh-CN"/>
        </w:rPr>
        <w:t>眉山市退役军人事务局</w:t>
      </w:r>
    </w:p>
    <w:p>
      <w:pPr>
        <w:spacing w:line="480" w:lineRule="exact"/>
        <w:ind w:firstLine="482" w:firstLineChars="200"/>
        <w:rPr>
          <w:rFonts w:asciiTheme="minorEastAsia" w:hAnsiTheme="minorEastAsia"/>
          <w:b w:val="0"/>
          <w:bCs/>
          <w:sz w:val="24"/>
          <w:szCs w:val="24"/>
          <w:highlight w:val="none"/>
        </w:rPr>
      </w:pPr>
      <w:r>
        <w:rPr>
          <w:rFonts w:hint="eastAsia" w:asciiTheme="minorEastAsia" w:hAnsiTheme="minorEastAsia"/>
          <w:b/>
          <w:sz w:val="24"/>
          <w:szCs w:val="24"/>
          <w:highlight w:val="none"/>
        </w:rPr>
        <w:t>地址：</w:t>
      </w:r>
      <w:r>
        <w:rPr>
          <w:rFonts w:hint="eastAsia" w:asciiTheme="minorEastAsia" w:hAnsiTheme="minorEastAsia"/>
          <w:b w:val="0"/>
          <w:bCs/>
          <w:sz w:val="24"/>
          <w:szCs w:val="24"/>
          <w:highlight w:val="none"/>
          <w:u w:val="single"/>
          <w:lang w:val="zh-CN"/>
        </w:rPr>
        <w:t>东坡区彭寿街83号</w:t>
      </w:r>
    </w:p>
    <w:p>
      <w:pPr>
        <w:spacing w:line="480" w:lineRule="exact"/>
        <w:ind w:firstLine="482" w:firstLineChars="200"/>
        <w:rPr>
          <w:rFonts w:asciiTheme="minorEastAsia" w:hAnsiTheme="minorEastAsia"/>
          <w:b/>
          <w:sz w:val="24"/>
          <w:szCs w:val="24"/>
          <w:highlight w:val="none"/>
        </w:rPr>
      </w:pPr>
      <w:r>
        <w:rPr>
          <w:rFonts w:hint="eastAsia" w:asciiTheme="minorEastAsia" w:hAnsiTheme="minorEastAsia"/>
          <w:b/>
          <w:sz w:val="24"/>
          <w:szCs w:val="24"/>
          <w:highlight w:val="none"/>
        </w:rPr>
        <w:t>联系人：</w:t>
      </w:r>
      <w:r>
        <w:rPr>
          <w:rFonts w:hint="eastAsia" w:asciiTheme="minorEastAsia" w:hAnsiTheme="minorEastAsia"/>
          <w:b w:val="0"/>
          <w:bCs/>
          <w:sz w:val="24"/>
          <w:szCs w:val="24"/>
          <w:highlight w:val="none"/>
          <w:u w:val="single"/>
          <w:lang w:val="en-US" w:eastAsia="zh-CN"/>
        </w:rPr>
        <w:t>冷先生</w:t>
      </w:r>
    </w:p>
    <w:p>
      <w:pPr>
        <w:spacing w:line="480" w:lineRule="exact"/>
        <w:ind w:firstLine="482" w:firstLineChars="200"/>
        <w:rPr>
          <w:rFonts w:asciiTheme="minorEastAsia" w:hAnsiTheme="minorEastAsia"/>
          <w:sz w:val="24"/>
          <w:szCs w:val="24"/>
          <w:highlight w:val="none"/>
        </w:rPr>
      </w:pPr>
      <w:r>
        <w:rPr>
          <w:rFonts w:hint="eastAsia" w:asciiTheme="minorEastAsia" w:hAnsiTheme="minorEastAsia"/>
          <w:b/>
          <w:sz w:val="24"/>
          <w:szCs w:val="24"/>
          <w:highlight w:val="none"/>
        </w:rPr>
        <w:t>联系方式：</w:t>
      </w:r>
      <w:r>
        <w:rPr>
          <w:rFonts w:hint="eastAsia" w:asciiTheme="minorEastAsia" w:hAnsiTheme="minorEastAsia"/>
          <w:b w:val="0"/>
          <w:bCs/>
          <w:i w:val="0"/>
          <w:iCs w:val="0"/>
          <w:sz w:val="24"/>
          <w:szCs w:val="24"/>
          <w:highlight w:val="none"/>
          <w:u w:val="single"/>
          <w:lang w:val="en-US" w:eastAsia="zh-CN"/>
        </w:rPr>
        <w:t>13990355543</w:t>
      </w:r>
    </w:p>
    <w:p>
      <w:pPr>
        <w:spacing w:line="480" w:lineRule="exact"/>
        <w:ind w:firstLine="480" w:firstLineChars="200"/>
        <w:rPr>
          <w:rFonts w:asciiTheme="minorEastAsia" w:hAnsiTheme="minorEastAsia"/>
          <w:sz w:val="24"/>
          <w:szCs w:val="24"/>
          <w:highlight w:val="none"/>
        </w:rPr>
      </w:pPr>
      <w:r>
        <w:rPr>
          <w:rFonts w:hint="eastAsia" w:asciiTheme="minorEastAsia" w:hAnsiTheme="minorEastAsia"/>
          <w:sz w:val="24"/>
          <w:szCs w:val="24"/>
          <w:highlight w:val="none"/>
        </w:rPr>
        <w:t>2.采购代理机构信息</w:t>
      </w:r>
    </w:p>
    <w:p>
      <w:pPr>
        <w:spacing w:line="480" w:lineRule="exact"/>
        <w:ind w:firstLine="482" w:firstLineChars="200"/>
        <w:rPr>
          <w:rFonts w:asciiTheme="minorEastAsia" w:hAnsiTheme="minorEastAsia"/>
          <w:color w:val="auto"/>
          <w:sz w:val="24"/>
          <w:szCs w:val="24"/>
          <w:highlight w:val="none"/>
        </w:rPr>
      </w:pPr>
      <w:r>
        <w:rPr>
          <w:rFonts w:hint="eastAsia" w:asciiTheme="minorEastAsia" w:hAnsiTheme="minorEastAsia"/>
          <w:b/>
          <w:sz w:val="24"/>
          <w:szCs w:val="24"/>
          <w:highlight w:val="none"/>
        </w:rPr>
        <w:t>名 称：</w:t>
      </w:r>
      <w:r>
        <w:rPr>
          <w:rFonts w:hint="eastAsia" w:cs="宋体" w:asciiTheme="minorEastAsia" w:hAnsiTheme="minorEastAsia"/>
          <w:b/>
          <w:bCs/>
          <w:color w:val="auto"/>
          <w:kern w:val="0"/>
          <w:sz w:val="24"/>
          <w:szCs w:val="24"/>
          <w:highlight w:val="none"/>
          <w:u w:val="single"/>
          <w:lang w:val="zh-CN"/>
        </w:rPr>
        <w:t>四川中岚工程项目管理有限公司</w:t>
      </w:r>
    </w:p>
    <w:p>
      <w:pPr>
        <w:spacing w:line="480" w:lineRule="exact"/>
        <w:ind w:firstLine="482" w:firstLineChars="200"/>
        <w:rPr>
          <w:rFonts w:asciiTheme="minorEastAsia" w:hAnsiTheme="minorEastAsia"/>
          <w:sz w:val="24"/>
          <w:szCs w:val="24"/>
          <w:highlight w:val="none"/>
        </w:rPr>
      </w:pPr>
      <w:r>
        <w:rPr>
          <w:rFonts w:hint="eastAsia" w:asciiTheme="minorEastAsia" w:hAnsiTheme="minorEastAsia"/>
          <w:b/>
          <w:sz w:val="24"/>
          <w:szCs w:val="24"/>
          <w:highlight w:val="none"/>
        </w:rPr>
        <w:t>地址：</w:t>
      </w:r>
      <w:r>
        <w:rPr>
          <w:rFonts w:hint="eastAsia" w:ascii="宋体" w:hAnsi="宋体" w:cs="宋体"/>
          <w:sz w:val="24"/>
          <w:u w:val="single"/>
        </w:rPr>
        <w:t>眉山市东坡区眉州大道东三段186号（阳光天天向上5栋1单元1103号）</w:t>
      </w:r>
    </w:p>
    <w:p>
      <w:pPr>
        <w:spacing w:line="480" w:lineRule="exact"/>
        <w:ind w:firstLine="482" w:firstLineChars="200"/>
        <w:rPr>
          <w:rFonts w:asciiTheme="minorEastAsia" w:hAnsiTheme="minorEastAsia"/>
          <w:b/>
          <w:sz w:val="24"/>
          <w:szCs w:val="24"/>
          <w:highlight w:val="none"/>
        </w:rPr>
      </w:pPr>
      <w:r>
        <w:rPr>
          <w:rFonts w:hint="eastAsia" w:asciiTheme="minorEastAsia" w:hAnsiTheme="minorEastAsia"/>
          <w:b/>
          <w:sz w:val="24"/>
          <w:szCs w:val="24"/>
          <w:highlight w:val="none"/>
        </w:rPr>
        <w:t>联系人：</w:t>
      </w:r>
      <w:r>
        <w:rPr>
          <w:rFonts w:hint="eastAsia" w:hAnsi="宋体" w:cs="宋体"/>
          <w:sz w:val="24"/>
          <w:szCs w:val="24"/>
          <w:u w:val="single"/>
        </w:rPr>
        <w:t>胡女士</w:t>
      </w:r>
    </w:p>
    <w:p>
      <w:pPr>
        <w:spacing w:line="480" w:lineRule="exact"/>
        <w:ind w:firstLine="482" w:firstLineChars="200"/>
        <w:rPr>
          <w:rFonts w:asciiTheme="minorEastAsia" w:hAnsiTheme="minorEastAsia"/>
          <w:sz w:val="24"/>
          <w:szCs w:val="24"/>
          <w:highlight w:val="none"/>
        </w:rPr>
      </w:pPr>
      <w:r>
        <w:rPr>
          <w:rFonts w:hint="eastAsia" w:asciiTheme="minorEastAsia" w:hAnsiTheme="minorEastAsia"/>
          <w:b/>
          <w:sz w:val="24"/>
          <w:szCs w:val="24"/>
          <w:highlight w:val="none"/>
        </w:rPr>
        <w:t>联系方式：</w:t>
      </w:r>
      <w:r>
        <w:rPr>
          <w:rFonts w:hint="eastAsia" w:ascii="宋体" w:hAnsi="宋体" w:cs="宋体"/>
          <w:sz w:val="24"/>
          <w:u w:val="single"/>
        </w:rPr>
        <w:t>028-38109839</w:t>
      </w:r>
    </w:p>
    <w:p>
      <w:pPr>
        <w:spacing w:line="480" w:lineRule="exact"/>
        <w:ind w:firstLine="480" w:firstLineChars="200"/>
        <w:rPr>
          <w:rFonts w:asciiTheme="minorEastAsia" w:hAnsiTheme="minorEastAsia"/>
          <w:sz w:val="24"/>
          <w:szCs w:val="24"/>
          <w:highlight w:val="none"/>
        </w:rPr>
      </w:pPr>
      <w:r>
        <w:rPr>
          <w:rFonts w:hint="eastAsia" w:asciiTheme="minorEastAsia" w:hAnsiTheme="minorEastAsia"/>
          <w:sz w:val="24"/>
          <w:szCs w:val="24"/>
          <w:highlight w:val="none"/>
        </w:rPr>
        <w:t>3.项目联系方式</w:t>
      </w:r>
    </w:p>
    <w:p>
      <w:pPr>
        <w:spacing w:line="480" w:lineRule="exact"/>
        <w:ind w:firstLine="482" w:firstLineChars="200"/>
        <w:rPr>
          <w:rFonts w:asciiTheme="minorEastAsia" w:hAnsiTheme="minorEastAsia"/>
          <w:sz w:val="24"/>
          <w:szCs w:val="24"/>
          <w:highlight w:val="none"/>
        </w:rPr>
      </w:pPr>
      <w:r>
        <w:rPr>
          <w:rFonts w:hint="eastAsia" w:asciiTheme="minorEastAsia" w:hAnsiTheme="minorEastAsia"/>
          <w:b/>
          <w:sz w:val="24"/>
          <w:szCs w:val="24"/>
          <w:highlight w:val="none"/>
        </w:rPr>
        <w:t>项目联系人：</w:t>
      </w:r>
      <w:r>
        <w:rPr>
          <w:rFonts w:hint="eastAsia" w:hAnsi="宋体" w:cs="宋体"/>
          <w:sz w:val="24"/>
          <w:szCs w:val="24"/>
          <w:u w:val="single"/>
        </w:rPr>
        <w:t>胡女士</w:t>
      </w:r>
    </w:p>
    <w:p>
      <w:pPr>
        <w:ind w:firstLine="482" w:firstLineChars="200"/>
        <w:rPr>
          <w:color w:val="000080"/>
          <w:sz w:val="20"/>
          <w:highlight w:val="none"/>
        </w:rPr>
      </w:pPr>
      <w:r>
        <w:rPr>
          <w:rFonts w:hint="eastAsia" w:asciiTheme="minorEastAsia" w:hAnsiTheme="minorEastAsia"/>
          <w:b/>
          <w:sz w:val="24"/>
          <w:szCs w:val="24"/>
          <w:highlight w:val="none"/>
        </w:rPr>
        <w:t>电话：</w:t>
      </w:r>
      <w:r>
        <w:rPr>
          <w:rFonts w:hint="eastAsia" w:ascii="宋体" w:hAnsi="宋体" w:cs="宋体"/>
          <w:sz w:val="24"/>
          <w:u w:val="single"/>
        </w:rPr>
        <w:t>028-38109839</w:t>
      </w:r>
    </w:p>
    <w:p>
      <w:pPr>
        <w:pStyle w:val="3"/>
        <w:pageBreakBefore/>
        <w:jc w:val="center"/>
        <w:rPr>
          <w:rFonts w:ascii="宋体" w:hAnsi="宋体"/>
          <w:highlight w:val="none"/>
        </w:rPr>
      </w:pPr>
      <w:bookmarkStart w:id="4" w:name="_Toc484268461"/>
      <w:bookmarkStart w:id="5" w:name="_Toc78978670"/>
      <w:r>
        <w:rPr>
          <w:rFonts w:hint="eastAsia" w:ascii="宋体" w:hAnsi="宋体"/>
          <w:highlight w:val="none"/>
        </w:rPr>
        <w:t>第二章  投标人须知</w:t>
      </w:r>
      <w:bookmarkEnd w:id="4"/>
      <w:bookmarkEnd w:id="5"/>
    </w:p>
    <w:p>
      <w:pPr>
        <w:rPr>
          <w:highlight w:val="none"/>
        </w:rPr>
      </w:pPr>
      <w:bookmarkStart w:id="6" w:name="EB48d6a5ccf7114884b0a8d666413f5905"/>
      <w:bookmarkEnd w:id="6"/>
      <w:bookmarkStart w:id="7" w:name="EBbeadd19020384a5f891b3b2e6015e9da"/>
      <w:bookmarkEnd w:id="7"/>
    </w:p>
    <w:p>
      <w:pPr>
        <w:pStyle w:val="44"/>
        <w:jc w:val="center"/>
        <w:rPr>
          <w:b/>
          <w:sz w:val="32"/>
          <w:szCs w:val="32"/>
          <w:highlight w:val="none"/>
        </w:rPr>
      </w:pPr>
      <w:bookmarkStart w:id="8" w:name="_Toc484268462"/>
      <w:r>
        <w:rPr>
          <w:rFonts w:hint="eastAsia"/>
          <w:b/>
          <w:sz w:val="32"/>
          <w:szCs w:val="32"/>
          <w:highlight w:val="none"/>
        </w:rPr>
        <w:t>一、投标人须知前附表</w:t>
      </w:r>
      <w:bookmarkEnd w:id="8"/>
    </w:p>
    <w:tbl>
      <w:tblPr>
        <w:tblStyle w:val="19"/>
        <w:tblW w:w="875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17"/>
        <w:gridCol w:w="1559"/>
        <w:gridCol w:w="637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7" w:type="dxa"/>
            <w:shd w:val="clear" w:color="auto" w:fill="auto"/>
            <w:vAlign w:val="center"/>
          </w:tcPr>
          <w:p>
            <w:pPr>
              <w:pStyle w:val="34"/>
              <w:topLinePunct/>
              <w:spacing w:line="360" w:lineRule="exact"/>
              <w:ind w:left="9"/>
              <w:jc w:val="center"/>
              <w:rPr>
                <w:rFonts w:asciiTheme="minorEastAsia" w:hAnsiTheme="minorEastAsia" w:eastAsiaTheme="minorEastAsia"/>
                <w:b/>
                <w:highlight w:val="none"/>
                <w:lang w:val="zh-CN"/>
              </w:rPr>
            </w:pPr>
            <w:r>
              <w:rPr>
                <w:rFonts w:hint="eastAsia" w:asciiTheme="minorEastAsia" w:hAnsiTheme="minorEastAsia" w:eastAsiaTheme="minorEastAsia"/>
                <w:b/>
                <w:highlight w:val="none"/>
                <w:lang w:val="zh-CN"/>
              </w:rPr>
              <w:t>序号</w:t>
            </w:r>
          </w:p>
        </w:tc>
        <w:tc>
          <w:tcPr>
            <w:tcW w:w="1559" w:type="dxa"/>
            <w:shd w:val="clear" w:color="auto" w:fill="auto"/>
            <w:vAlign w:val="center"/>
          </w:tcPr>
          <w:p>
            <w:pPr>
              <w:pStyle w:val="34"/>
              <w:topLinePunct/>
              <w:spacing w:line="360" w:lineRule="exact"/>
              <w:ind w:left="-84" w:leftChars="-40" w:right="-84" w:rightChars="-40"/>
              <w:jc w:val="center"/>
              <w:rPr>
                <w:rFonts w:asciiTheme="minorEastAsia" w:hAnsiTheme="minorEastAsia" w:eastAsiaTheme="minorEastAsia"/>
                <w:b/>
                <w:highlight w:val="none"/>
                <w:lang w:val="zh-CN"/>
              </w:rPr>
            </w:pPr>
            <w:r>
              <w:rPr>
                <w:rFonts w:hint="eastAsia" w:asciiTheme="minorEastAsia" w:hAnsiTheme="minorEastAsia" w:eastAsiaTheme="minorEastAsia"/>
                <w:b/>
                <w:highlight w:val="none"/>
                <w:lang w:val="zh-CN"/>
              </w:rPr>
              <w:t>条款名称</w:t>
            </w:r>
          </w:p>
        </w:tc>
        <w:tc>
          <w:tcPr>
            <w:tcW w:w="6379" w:type="dxa"/>
            <w:shd w:val="clear" w:color="auto" w:fill="auto"/>
            <w:vAlign w:val="center"/>
          </w:tcPr>
          <w:p>
            <w:pPr>
              <w:pStyle w:val="34"/>
              <w:topLinePunct/>
              <w:spacing w:line="360" w:lineRule="exact"/>
              <w:jc w:val="center"/>
              <w:rPr>
                <w:rFonts w:asciiTheme="minorEastAsia" w:hAnsiTheme="minorEastAsia" w:eastAsiaTheme="minorEastAsia"/>
                <w:b/>
                <w:highlight w:val="none"/>
                <w:lang w:val="zh-CN"/>
              </w:rPr>
            </w:pPr>
            <w:r>
              <w:rPr>
                <w:rFonts w:hint="eastAsia" w:asciiTheme="minorEastAsia" w:hAnsiTheme="minorEastAsia" w:eastAsiaTheme="minorEastAsia"/>
                <w:b/>
                <w:highlight w:val="none"/>
                <w:lang w:val="zh-CN"/>
              </w:rPr>
              <w:t>说明和要求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7" w:type="dxa"/>
            <w:shd w:val="clear" w:color="auto" w:fill="auto"/>
            <w:vAlign w:val="center"/>
          </w:tcPr>
          <w:p>
            <w:pPr>
              <w:pStyle w:val="34"/>
              <w:topLinePunct/>
              <w:spacing w:line="360" w:lineRule="exact"/>
              <w:ind w:right="230"/>
              <w:jc w:val="center"/>
              <w:rPr>
                <w:rFonts w:asciiTheme="minorEastAsia" w:hAnsiTheme="minorEastAsia" w:eastAsiaTheme="minorEastAsia"/>
                <w:highlight w:val="none"/>
              </w:rPr>
            </w:pPr>
            <w:r>
              <w:rPr>
                <w:rFonts w:hint="eastAsia" w:cs="Courier New" w:asciiTheme="minorEastAsia" w:hAnsiTheme="minorEastAsia" w:eastAsiaTheme="minorEastAsia"/>
                <w:highlight w:val="none"/>
                <w:lang w:val="zh-CN"/>
              </w:rPr>
              <w:t>1</w:t>
            </w:r>
          </w:p>
        </w:tc>
        <w:tc>
          <w:tcPr>
            <w:tcW w:w="1559" w:type="dxa"/>
            <w:shd w:val="clear" w:color="auto" w:fill="auto"/>
            <w:vAlign w:val="center"/>
          </w:tcPr>
          <w:p>
            <w:pPr>
              <w:topLinePunct/>
              <w:spacing w:line="360" w:lineRule="exact"/>
              <w:ind w:left="-84" w:leftChars="-40" w:right="-84" w:rightChars="-40"/>
              <w:jc w:val="center"/>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最高限价及</w:t>
            </w:r>
          </w:p>
          <w:p>
            <w:pPr>
              <w:topLinePunct/>
              <w:spacing w:line="360" w:lineRule="exact"/>
              <w:ind w:left="-84" w:leftChars="-40" w:right="-84" w:rightChars="-40"/>
              <w:jc w:val="center"/>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包数划分情况</w:t>
            </w:r>
          </w:p>
        </w:tc>
        <w:tc>
          <w:tcPr>
            <w:tcW w:w="6379" w:type="dxa"/>
            <w:shd w:val="clear" w:color="auto" w:fill="auto"/>
          </w:tcPr>
          <w:p>
            <w:pPr>
              <w:topLinePunct/>
              <w:spacing w:line="360" w:lineRule="exact"/>
              <w:rPr>
                <w:rFonts w:hint="eastAsia" w:asciiTheme="minorEastAsia" w:hAnsiTheme="minorEastAsia" w:eastAsiaTheme="minorEastAsia"/>
                <w:color w:val="auto"/>
                <w:sz w:val="24"/>
                <w:szCs w:val="24"/>
                <w:highlight w:val="none"/>
                <w:lang w:eastAsia="zh-CN"/>
              </w:rPr>
            </w:pPr>
            <w:r>
              <w:rPr>
                <w:rFonts w:hint="eastAsia" w:asciiTheme="minorEastAsia" w:hAnsiTheme="minorEastAsia" w:eastAsiaTheme="minorEastAsia"/>
                <w:sz w:val="24"/>
                <w:szCs w:val="24"/>
                <w:highlight w:val="none"/>
              </w:rPr>
              <w:t>本项目</w:t>
            </w:r>
            <w:r>
              <w:rPr>
                <w:rFonts w:hint="eastAsia" w:asciiTheme="minorEastAsia" w:hAnsiTheme="minorEastAsia" w:eastAsiaTheme="minorEastAsia"/>
                <w:color w:val="auto"/>
                <w:sz w:val="24"/>
                <w:szCs w:val="24"/>
                <w:highlight w:val="none"/>
              </w:rPr>
              <w:t>预算金额为6607571.74元（大写：陆佰陆拾万零柒仟伍佰柒拾壹元柒角肆分）</w:t>
            </w:r>
            <w:r>
              <w:rPr>
                <w:rFonts w:hint="eastAsia" w:asciiTheme="minorEastAsia" w:hAnsiTheme="minorEastAsia" w:eastAsiaTheme="minorEastAsia"/>
                <w:color w:val="auto"/>
                <w:sz w:val="24"/>
                <w:szCs w:val="24"/>
                <w:highlight w:val="none"/>
                <w:lang w:eastAsia="zh-CN"/>
              </w:rPr>
              <w:t>；</w:t>
            </w:r>
          </w:p>
          <w:p>
            <w:pPr>
              <w:topLinePunct/>
              <w:spacing w:line="360" w:lineRule="exact"/>
              <w:rPr>
                <w:rFonts w:hint="eastAsia" w:asciiTheme="minorEastAsia" w:hAnsiTheme="minorEastAsia" w:eastAsiaTheme="minorEastAsia"/>
                <w:color w:val="000000"/>
                <w:sz w:val="24"/>
                <w:szCs w:val="24"/>
                <w:highlight w:val="none"/>
              </w:rPr>
            </w:pPr>
            <w:r>
              <w:rPr>
                <w:rFonts w:hint="eastAsia" w:asciiTheme="minorEastAsia" w:hAnsiTheme="minorEastAsia" w:eastAsiaTheme="minorEastAsia"/>
                <w:sz w:val="24"/>
                <w:szCs w:val="24"/>
                <w:highlight w:val="none"/>
              </w:rPr>
              <w:t>最高限价</w:t>
            </w:r>
            <w:r>
              <w:rPr>
                <w:rFonts w:hint="eastAsia" w:asciiTheme="minorEastAsia" w:hAnsiTheme="minorEastAsia" w:eastAsiaTheme="minorEastAsia"/>
                <w:color w:val="000000"/>
                <w:sz w:val="24"/>
                <w:szCs w:val="24"/>
                <w:highlight w:val="none"/>
              </w:rPr>
              <w:t>为：6607571.74元（大写：陆佰陆拾万零柒仟伍佰柒拾壹元柒角肆分）。</w:t>
            </w:r>
          </w:p>
          <w:p>
            <w:pPr>
              <w:topLinePunct/>
              <w:spacing w:line="360" w:lineRule="exact"/>
              <w:rPr>
                <w:rFonts w:hint="default" w:asciiTheme="minorEastAsia" w:hAnsiTheme="minorEastAsia" w:eastAsiaTheme="minorEastAsia"/>
                <w:color w:val="auto"/>
                <w:sz w:val="24"/>
                <w:szCs w:val="24"/>
                <w:highlight w:val="none"/>
                <w:lang w:val="en-US" w:eastAsia="zh-CN"/>
              </w:rPr>
            </w:pPr>
            <w:r>
              <w:rPr>
                <w:rFonts w:hint="eastAsia" w:asciiTheme="minorEastAsia" w:hAnsiTheme="minorEastAsia" w:eastAsiaTheme="minorEastAsia"/>
                <w:sz w:val="24"/>
                <w:szCs w:val="24"/>
                <w:highlight w:val="none"/>
              </w:rPr>
              <w:t>包数划分情况：</w:t>
            </w:r>
            <w:r>
              <w:rPr>
                <w:rFonts w:hint="eastAsia" w:asciiTheme="minorEastAsia" w:hAnsiTheme="minorEastAsia" w:eastAsiaTheme="minorEastAsia"/>
                <w:color w:val="auto"/>
                <w:sz w:val="24"/>
                <w:szCs w:val="24"/>
                <w:highlight w:val="none"/>
                <w:u w:val="single"/>
                <w:lang w:val="en-US" w:eastAsia="zh-CN"/>
              </w:rPr>
              <w:t>1个包</w:t>
            </w:r>
          </w:p>
          <w:p>
            <w:pPr>
              <w:topLinePunct/>
              <w:spacing w:line="360" w:lineRule="exact"/>
              <w:rPr>
                <w:rFonts w:asciiTheme="minorEastAsia" w:hAnsiTheme="minorEastAsia" w:eastAsiaTheme="minorEastAsia"/>
                <w:b/>
                <w:sz w:val="24"/>
                <w:szCs w:val="24"/>
                <w:highlight w:val="none"/>
              </w:rPr>
            </w:pPr>
            <w:r>
              <w:rPr>
                <w:rFonts w:hint="eastAsia" w:asciiTheme="minorEastAsia" w:hAnsiTheme="minorEastAsia" w:eastAsiaTheme="minorEastAsia"/>
                <w:b/>
                <w:sz w:val="24"/>
                <w:szCs w:val="24"/>
                <w:highlight w:val="none"/>
              </w:rPr>
              <w:t>投标人的报价若超过采购人设定的预算金额或最高限价之一，将被作为无效投标文件处理。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7" w:type="dxa"/>
            <w:shd w:val="clear" w:color="auto" w:fill="auto"/>
            <w:vAlign w:val="center"/>
          </w:tcPr>
          <w:p>
            <w:pPr>
              <w:topLinePunct/>
              <w:spacing w:line="360" w:lineRule="exact"/>
              <w:jc w:val="center"/>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2</w:t>
            </w:r>
          </w:p>
        </w:tc>
        <w:tc>
          <w:tcPr>
            <w:tcW w:w="1559" w:type="dxa"/>
            <w:shd w:val="clear" w:color="auto" w:fill="auto"/>
            <w:vAlign w:val="center"/>
          </w:tcPr>
          <w:p>
            <w:pPr>
              <w:pStyle w:val="34"/>
              <w:topLinePunct/>
              <w:spacing w:line="360" w:lineRule="exact"/>
              <w:ind w:left="-84" w:leftChars="-40" w:right="-84" w:rightChars="-40"/>
              <w:jc w:val="center"/>
              <w:rPr>
                <w:rFonts w:cs="Times New Roman" w:asciiTheme="minorEastAsia" w:hAnsiTheme="minorEastAsia" w:eastAsiaTheme="minorEastAsia"/>
                <w:kern w:val="2"/>
                <w:highlight w:val="none"/>
              </w:rPr>
            </w:pPr>
            <w:r>
              <w:rPr>
                <w:rFonts w:hint="eastAsia" w:cs="Times New Roman" w:asciiTheme="minorEastAsia" w:hAnsiTheme="minorEastAsia" w:eastAsiaTheme="minorEastAsia"/>
                <w:kern w:val="2"/>
                <w:highlight w:val="none"/>
              </w:rPr>
              <w:t>不正当竞争预防措施</w:t>
            </w:r>
          </w:p>
          <w:p>
            <w:pPr>
              <w:pStyle w:val="34"/>
              <w:topLinePunct/>
              <w:spacing w:line="360" w:lineRule="exact"/>
              <w:ind w:left="-84" w:leftChars="-40" w:right="-84" w:rightChars="-40"/>
              <w:jc w:val="center"/>
              <w:rPr>
                <w:rFonts w:cs="Times New Roman" w:asciiTheme="minorEastAsia" w:hAnsiTheme="minorEastAsia" w:eastAsiaTheme="minorEastAsia"/>
                <w:kern w:val="2"/>
                <w:highlight w:val="none"/>
              </w:rPr>
            </w:pPr>
          </w:p>
        </w:tc>
        <w:tc>
          <w:tcPr>
            <w:tcW w:w="6379" w:type="dxa"/>
            <w:shd w:val="clear" w:color="auto" w:fill="auto"/>
          </w:tcPr>
          <w:p>
            <w:pPr>
              <w:pStyle w:val="34"/>
              <w:topLinePunct/>
              <w:spacing w:line="360" w:lineRule="exact"/>
              <w:jc w:val="both"/>
              <w:rPr>
                <w:rFonts w:asciiTheme="minorEastAsia" w:hAnsiTheme="minorEastAsia" w:eastAsiaTheme="minorEastAsia"/>
                <w:b/>
                <w:kern w:val="2"/>
                <w:highlight w:val="none"/>
                <w:u w:val="single"/>
              </w:rPr>
            </w:pPr>
            <w:r>
              <w:rPr>
                <w:rFonts w:cs="Times New Roman" w:asciiTheme="minorEastAsia" w:hAnsiTheme="minorEastAsia" w:eastAsiaTheme="minorEastAsia"/>
                <w:kern w:val="2"/>
                <w:highlight w:val="none"/>
              </w:rPr>
              <w:t>评标委员会认为投标人的报价明显低于其他通过符合性审查投标人的报价，有可能影响产品质量或者不能诚信履约的，应当要求其在评标现场</w:t>
            </w:r>
            <w:r>
              <w:rPr>
                <w:rFonts w:hint="eastAsia" w:cs="Times New Roman" w:asciiTheme="minorEastAsia" w:hAnsiTheme="minorEastAsia" w:eastAsiaTheme="minorEastAsia"/>
                <w:kern w:val="2"/>
                <w:highlight w:val="none"/>
              </w:rPr>
              <w:t>1小时内</w:t>
            </w:r>
            <w:r>
              <w:rPr>
                <w:rFonts w:cs="Times New Roman" w:asciiTheme="minorEastAsia" w:hAnsiTheme="minorEastAsia" w:eastAsiaTheme="minorEastAsia"/>
                <w:kern w:val="2"/>
                <w:highlight w:val="none"/>
              </w:rPr>
              <w:t>提供书面说明，必要时提交相关证明材料；</w:t>
            </w:r>
            <w:r>
              <w:rPr>
                <w:rFonts w:hint="eastAsia" w:asciiTheme="minorEastAsia" w:hAnsiTheme="minorEastAsia" w:eastAsiaTheme="minorEastAsia"/>
                <w:b/>
                <w:kern w:val="2"/>
                <w:highlight w:val="none"/>
                <w:u w:val="single"/>
              </w:rPr>
              <w:t>投标人拒绝或者变相拒绝或在规定的时间内未提供有效书面说明或者书面说明不能证明其报价合理性的，评标委员会应当将其投标文件作为无效处理。</w:t>
            </w:r>
          </w:p>
          <w:p>
            <w:pPr>
              <w:pStyle w:val="34"/>
              <w:topLinePunct/>
              <w:spacing w:line="360" w:lineRule="exact"/>
              <w:jc w:val="both"/>
              <w:rPr>
                <w:rFonts w:cs="Times New Roman" w:asciiTheme="minorEastAsia" w:hAnsiTheme="minorEastAsia" w:eastAsiaTheme="minorEastAsia"/>
                <w:kern w:val="2"/>
                <w:highlight w:val="none"/>
              </w:rPr>
            </w:pPr>
            <w:r>
              <w:rPr>
                <w:rFonts w:hint="eastAsia" w:cs="Times New Roman" w:asciiTheme="minorEastAsia" w:hAnsiTheme="minorEastAsia" w:eastAsiaTheme="minorEastAsia"/>
                <w:kern w:val="2"/>
                <w:highlight w:val="none"/>
              </w:rPr>
              <w:t>供应商书面说明应当签字确认或者加盖公章(盖鲜章)，否则无效。</w:t>
            </w:r>
          </w:p>
          <w:p>
            <w:pPr>
              <w:pStyle w:val="34"/>
              <w:topLinePunct/>
              <w:spacing w:line="360" w:lineRule="exact"/>
              <w:jc w:val="both"/>
              <w:rPr>
                <w:rFonts w:cs="Times New Roman" w:asciiTheme="minorEastAsia" w:hAnsiTheme="minorEastAsia" w:eastAsiaTheme="minorEastAsia"/>
                <w:kern w:val="2"/>
                <w:highlight w:val="none"/>
              </w:rPr>
            </w:pPr>
            <w:r>
              <w:rPr>
                <w:rFonts w:hint="eastAsia" w:cs="Times New Roman" w:asciiTheme="minorEastAsia" w:hAnsiTheme="minorEastAsia" w:eastAsiaTheme="minorEastAsia"/>
                <w:kern w:val="2"/>
                <w:highlight w:val="none"/>
              </w:rPr>
              <w:t>书面说明的签字确认，供应商为法人的，由其法定代表人或者代理人签字确认；供应商为其他组织的，由其主要负责人或者代理人签字确认；供应商为自然人的，由其本人或者代理人签字确认。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7" w:type="dxa"/>
            <w:shd w:val="clear" w:color="auto" w:fill="auto"/>
            <w:vAlign w:val="center"/>
          </w:tcPr>
          <w:p>
            <w:pPr>
              <w:topLinePunct/>
              <w:spacing w:line="360" w:lineRule="exact"/>
              <w:jc w:val="center"/>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3</w:t>
            </w:r>
          </w:p>
        </w:tc>
        <w:tc>
          <w:tcPr>
            <w:tcW w:w="1559" w:type="dxa"/>
            <w:shd w:val="clear" w:color="auto" w:fill="auto"/>
            <w:vAlign w:val="center"/>
          </w:tcPr>
          <w:p>
            <w:pPr>
              <w:topLinePunct/>
              <w:spacing w:line="360" w:lineRule="exact"/>
              <w:ind w:left="-84" w:leftChars="-40" w:right="-84" w:rightChars="-40"/>
              <w:jc w:val="center"/>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扶持政策价格扣除</w:t>
            </w:r>
          </w:p>
        </w:tc>
        <w:tc>
          <w:tcPr>
            <w:tcW w:w="6379" w:type="dxa"/>
            <w:shd w:val="clear" w:color="auto" w:fill="auto"/>
            <w:vAlign w:val="center"/>
          </w:tcPr>
          <w:p>
            <w:pPr>
              <w:widowControl/>
              <w:spacing w:line="360" w:lineRule="exact"/>
              <w:jc w:val="left"/>
              <w:rPr>
                <w:rFonts w:asciiTheme="minorEastAsia" w:hAnsiTheme="minorEastAsia" w:eastAsiaTheme="minorEastAsia"/>
                <w:b/>
                <w:sz w:val="24"/>
                <w:szCs w:val="24"/>
                <w:highlight w:val="none"/>
              </w:rPr>
            </w:pPr>
            <w:r>
              <w:rPr>
                <w:rFonts w:hint="eastAsia" w:asciiTheme="minorEastAsia" w:hAnsiTheme="minorEastAsia" w:eastAsiaTheme="minorEastAsia"/>
                <w:b/>
                <w:sz w:val="24"/>
                <w:szCs w:val="24"/>
                <w:highlight w:val="none"/>
              </w:rPr>
              <w:t>(一)中小企业扶持政策</w:t>
            </w:r>
          </w:p>
          <w:p>
            <w:pPr>
              <w:widowControl/>
              <w:spacing w:line="360" w:lineRule="exact"/>
              <w:jc w:val="left"/>
              <w:rPr>
                <w:rFonts w:hint="default" w:asciiTheme="minorEastAsia" w:hAnsiTheme="minorEastAsia" w:eastAsiaTheme="minorEastAsia"/>
                <w:b/>
                <w:bCs/>
                <w:sz w:val="24"/>
                <w:szCs w:val="24"/>
                <w:highlight w:val="none"/>
                <w:lang w:val="en-US" w:eastAsia="zh-CN"/>
              </w:rPr>
            </w:pPr>
            <w:r>
              <w:rPr>
                <w:rFonts w:hint="eastAsia" w:asciiTheme="minorEastAsia" w:hAnsiTheme="minorEastAsia" w:eastAsiaTheme="minorEastAsia"/>
                <w:sz w:val="24"/>
                <w:szCs w:val="24"/>
                <w:highlight w:val="none"/>
              </w:rPr>
              <w:t>1、本项目所属行业为：</w:t>
            </w:r>
            <w:r>
              <w:rPr>
                <w:rFonts w:hint="eastAsia" w:asciiTheme="minorEastAsia" w:hAnsiTheme="minorEastAsia" w:eastAsiaTheme="minorEastAsia"/>
                <w:b/>
                <w:bCs/>
                <w:sz w:val="24"/>
                <w:szCs w:val="24"/>
                <w:highlight w:val="none"/>
                <w:lang w:val="en-US" w:eastAsia="zh-CN"/>
              </w:rPr>
              <w:t>信息系统集成</w:t>
            </w:r>
          </w:p>
          <w:p>
            <w:pPr>
              <w:spacing w:line="360" w:lineRule="exact"/>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2、</w:t>
            </w:r>
            <w:r>
              <w:rPr>
                <w:rFonts w:asciiTheme="minorEastAsia" w:hAnsiTheme="minorEastAsia" w:eastAsiaTheme="minorEastAsia"/>
                <w:sz w:val="24"/>
                <w:szCs w:val="24"/>
                <w:highlight w:val="none"/>
              </w:rPr>
              <w:t>小微企业价格扣除。根据《政府采购促进中小企业发展管理办法》（财库〔2020〕46号）的规定，</w:t>
            </w:r>
            <w:r>
              <w:rPr>
                <w:rFonts w:hint="eastAsia" w:asciiTheme="minorEastAsia" w:hAnsiTheme="minorEastAsia" w:eastAsiaTheme="minorEastAsia"/>
                <w:sz w:val="24"/>
                <w:szCs w:val="24"/>
                <w:highlight w:val="none"/>
              </w:rPr>
              <w:t>对于经主管预算单位统筹后未预留份额专门面向中小企业采购的采购项目，以及预留份额项目中的非预留部分采购包</w:t>
            </w:r>
            <w:r>
              <w:rPr>
                <w:rFonts w:asciiTheme="minorEastAsia" w:hAnsiTheme="minorEastAsia" w:eastAsiaTheme="minorEastAsia"/>
                <w:sz w:val="24"/>
                <w:szCs w:val="24"/>
                <w:highlight w:val="none"/>
              </w:rPr>
              <w:t>对小型和微型企业 (含提供货物、提供服务)的价格给予</w:t>
            </w:r>
            <w:r>
              <w:rPr>
                <w:rFonts w:hint="eastAsia" w:asciiTheme="minorEastAsia" w:hAnsiTheme="minorEastAsia" w:eastAsiaTheme="minorEastAsia"/>
                <w:sz w:val="24"/>
                <w:szCs w:val="24"/>
                <w:highlight w:val="none"/>
              </w:rPr>
              <w:t>10</w:t>
            </w:r>
            <w:r>
              <w:rPr>
                <w:rFonts w:asciiTheme="minorEastAsia" w:hAnsiTheme="minorEastAsia" w:eastAsiaTheme="minorEastAsia"/>
                <w:sz w:val="24"/>
                <w:szCs w:val="24"/>
                <w:highlight w:val="none"/>
              </w:rPr>
              <w:t>%的价格扣除，用扣除后的价格参与评</w:t>
            </w:r>
            <w:r>
              <w:rPr>
                <w:rFonts w:hint="eastAsia" w:asciiTheme="minorEastAsia" w:hAnsiTheme="minorEastAsia" w:eastAsiaTheme="minorEastAsia"/>
                <w:sz w:val="24"/>
                <w:szCs w:val="24"/>
                <w:highlight w:val="none"/>
              </w:rPr>
              <w:t>审</w:t>
            </w:r>
            <w:r>
              <w:rPr>
                <w:rFonts w:asciiTheme="minorEastAsia" w:hAnsiTheme="minorEastAsia" w:eastAsiaTheme="minorEastAsia"/>
                <w:sz w:val="24"/>
                <w:szCs w:val="24"/>
                <w:highlight w:val="none"/>
              </w:rPr>
              <w:t>。</w:t>
            </w:r>
          </w:p>
          <w:p>
            <w:pPr>
              <w:spacing w:line="360" w:lineRule="exact"/>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（1）</w:t>
            </w:r>
            <w:r>
              <w:rPr>
                <w:rFonts w:asciiTheme="minorEastAsia" w:hAnsiTheme="minorEastAsia" w:eastAsiaTheme="minorEastAsia"/>
                <w:sz w:val="24"/>
                <w:szCs w:val="24"/>
                <w:highlight w:val="none"/>
              </w:rPr>
              <w:t>参加政府采购活动的中小企业应当提供《中小企业声明函》。</w:t>
            </w:r>
          </w:p>
          <w:p>
            <w:pPr>
              <w:spacing w:line="360" w:lineRule="exact"/>
              <w:rPr>
                <w:rFonts w:asciiTheme="minorEastAsia" w:hAnsiTheme="minorEastAsia" w:eastAsiaTheme="minorEastAsia"/>
                <w:sz w:val="24"/>
                <w:szCs w:val="24"/>
                <w:highlight w:val="none"/>
              </w:rPr>
            </w:pPr>
            <w:r>
              <w:rPr>
                <w:rFonts w:asciiTheme="minorEastAsia" w:hAnsiTheme="minorEastAsia" w:eastAsiaTheme="minorEastAsia"/>
                <w:sz w:val="24"/>
                <w:szCs w:val="24"/>
                <w:highlight w:val="none"/>
              </w:rPr>
              <w:t>（</w:t>
            </w:r>
            <w:r>
              <w:rPr>
                <w:rFonts w:hint="eastAsia" w:asciiTheme="minorEastAsia" w:hAnsiTheme="minorEastAsia" w:eastAsiaTheme="minorEastAsia"/>
                <w:sz w:val="24"/>
                <w:szCs w:val="24"/>
                <w:highlight w:val="none"/>
              </w:rPr>
              <w:t>2）</w:t>
            </w:r>
            <w:r>
              <w:rPr>
                <w:rFonts w:asciiTheme="minorEastAsia" w:hAnsiTheme="minorEastAsia" w:eastAsiaTheme="minorEastAsia"/>
                <w:sz w:val="24"/>
                <w:szCs w:val="24"/>
                <w:highlight w:val="none"/>
              </w:rPr>
              <w:t>监狱企业视同为小型、微型企业，需提供省级以上监狱管理局、戒毒管理局（含新疆生产建设兵团）出具的属于监狱企业的证明文件</w:t>
            </w:r>
            <w:r>
              <w:rPr>
                <w:rFonts w:hint="eastAsia" w:asciiTheme="minorEastAsia" w:hAnsiTheme="minorEastAsia" w:eastAsiaTheme="minorEastAsia"/>
                <w:sz w:val="24"/>
                <w:szCs w:val="24"/>
                <w:highlight w:val="none"/>
              </w:rPr>
              <w:t>。</w:t>
            </w:r>
          </w:p>
          <w:p>
            <w:pPr>
              <w:spacing w:line="360" w:lineRule="exact"/>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（3）残疾人福利性单位</w:t>
            </w:r>
            <w:r>
              <w:rPr>
                <w:rFonts w:asciiTheme="minorEastAsia" w:hAnsiTheme="minorEastAsia" w:eastAsiaTheme="minorEastAsia"/>
                <w:sz w:val="24"/>
                <w:szCs w:val="24"/>
                <w:highlight w:val="none"/>
              </w:rPr>
              <w:t>视同为小型、微型企业</w:t>
            </w:r>
            <w:r>
              <w:rPr>
                <w:rFonts w:hint="eastAsia" w:asciiTheme="minorEastAsia" w:hAnsiTheme="minorEastAsia" w:eastAsiaTheme="minorEastAsia"/>
                <w:sz w:val="24"/>
                <w:szCs w:val="24"/>
                <w:highlight w:val="none"/>
              </w:rPr>
              <w:t>，需提供《残疾人福利性单位声明函》。</w:t>
            </w:r>
            <w:r>
              <w:rPr>
                <w:rFonts w:asciiTheme="minorEastAsia" w:hAnsiTheme="minorEastAsia" w:eastAsiaTheme="minorEastAsia"/>
                <w:sz w:val="24"/>
                <w:szCs w:val="24"/>
                <w:highlight w:val="none"/>
              </w:rPr>
              <w:br w:type="textWrapping"/>
            </w:r>
            <w:r>
              <w:rPr>
                <w:rFonts w:hint="eastAsia" w:asciiTheme="minorEastAsia" w:hAnsiTheme="minorEastAsia" w:eastAsiaTheme="minorEastAsia"/>
                <w:sz w:val="24"/>
                <w:szCs w:val="24"/>
                <w:highlight w:val="none"/>
              </w:rPr>
              <w:t>3、中小企业认定规则。</w:t>
            </w:r>
          </w:p>
          <w:p>
            <w:pPr>
              <w:spacing w:line="360" w:lineRule="exact"/>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（1）货物采购项目中，货物由中小企业制造，即货物由中小企业生产且使用该中小企业商号或者注册商标。</w:t>
            </w:r>
            <w:r>
              <w:rPr>
                <w:rFonts w:hint="eastAsia" w:asciiTheme="minorEastAsia" w:hAnsiTheme="minorEastAsia" w:eastAsiaTheme="minorEastAsia"/>
                <w:b/>
                <w:sz w:val="24"/>
                <w:szCs w:val="24"/>
                <w:highlight w:val="none"/>
              </w:rPr>
              <w:t>供应商提供的货物既有中小企业制造货物，也有大型企业制造货物的，不享受中小企业扶持政策。</w:t>
            </w:r>
          </w:p>
          <w:p>
            <w:pPr>
              <w:spacing w:line="360" w:lineRule="exact"/>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（2）服务采购项目中，服务由中小企业承接，即提供服务的人员为中小企业依照《中华人民共和国劳动合同法》订立劳动合同的从业人员。</w:t>
            </w:r>
          </w:p>
          <w:p>
            <w:pPr>
              <w:widowControl/>
              <w:spacing w:line="360" w:lineRule="exact"/>
              <w:jc w:val="left"/>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4</w:t>
            </w:r>
            <w:r>
              <w:rPr>
                <w:rFonts w:asciiTheme="minorEastAsia" w:hAnsiTheme="minorEastAsia" w:eastAsiaTheme="minorEastAsia"/>
                <w:sz w:val="24"/>
                <w:szCs w:val="24"/>
                <w:highlight w:val="none"/>
              </w:rPr>
              <w:t xml:space="preserve">. </w:t>
            </w:r>
            <w:r>
              <w:rPr>
                <w:rFonts w:hint="eastAsia" w:asciiTheme="minorEastAsia" w:hAnsiTheme="minorEastAsia" w:eastAsiaTheme="minorEastAsia"/>
                <w:sz w:val="24"/>
                <w:szCs w:val="24"/>
                <w:highlight w:val="none"/>
              </w:rPr>
              <w:t>联合体投标的规定</w:t>
            </w:r>
          </w:p>
          <w:p>
            <w:pPr>
              <w:widowControl/>
              <w:spacing w:line="360" w:lineRule="exact"/>
              <w:jc w:val="left"/>
              <w:rPr>
                <w:rFonts w:asciiTheme="minorEastAsia" w:hAnsiTheme="minorEastAsia" w:eastAsiaTheme="minorEastAsia"/>
                <w:b/>
                <w:sz w:val="24"/>
                <w:szCs w:val="24"/>
                <w:highlight w:val="none"/>
              </w:rPr>
            </w:pPr>
            <w:r>
              <w:rPr>
                <w:rFonts w:hint="eastAsia" w:asciiTheme="minorEastAsia" w:hAnsiTheme="minorEastAsia" w:eastAsiaTheme="minorEastAsia"/>
                <w:sz w:val="24"/>
                <w:szCs w:val="24"/>
                <w:highlight w:val="none"/>
              </w:rPr>
              <w:t>（1）</w:t>
            </w:r>
            <w:r>
              <w:rPr>
                <w:rFonts w:asciiTheme="minorEastAsia" w:hAnsiTheme="minorEastAsia" w:eastAsiaTheme="minorEastAsia"/>
                <w:sz w:val="24"/>
                <w:szCs w:val="24"/>
                <w:highlight w:val="none"/>
              </w:rPr>
              <w:t>接受大中型企业与小微企业组成联合体或者允许大中</w:t>
            </w:r>
            <w:r>
              <w:rPr>
                <w:rFonts w:hint="eastAsia" w:asciiTheme="minorEastAsia" w:hAnsiTheme="minorEastAsia" w:eastAsiaTheme="minorEastAsia"/>
                <w:sz w:val="24"/>
                <w:szCs w:val="24"/>
                <w:highlight w:val="none"/>
              </w:rPr>
              <w:t>型企业向一家或者多家小微企业分包的采购项目，对于联合协议或者分包意向协议约定小微企业的合同份额占到合同总金额30%以上的，采购人、采购代理机构应当对联合体或者大中型企业的报价给予</w:t>
            </w:r>
            <w:r>
              <w:rPr>
                <w:rFonts w:hint="eastAsia" w:asciiTheme="minorEastAsia" w:hAnsiTheme="minorEastAsia" w:eastAsiaTheme="minorEastAsia"/>
                <w:b/>
                <w:sz w:val="24"/>
                <w:szCs w:val="24"/>
                <w:highlight w:val="none"/>
              </w:rPr>
              <w:t>3%的扣除</w:t>
            </w:r>
            <w:r>
              <w:rPr>
                <w:rFonts w:hint="eastAsia" w:asciiTheme="minorEastAsia" w:hAnsiTheme="minorEastAsia" w:eastAsiaTheme="minorEastAsia"/>
                <w:sz w:val="24"/>
                <w:szCs w:val="24"/>
                <w:highlight w:val="none"/>
              </w:rPr>
              <w:t>，用扣除后的价格参加评审。</w:t>
            </w:r>
          </w:p>
          <w:p>
            <w:pPr>
              <w:widowControl/>
              <w:spacing w:line="360" w:lineRule="exact"/>
              <w:jc w:val="left"/>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（2）以联合体形式参加政府采购活动，联合体各方均为中小企业的，联合体视同中小企业。其中，联合体各方均为小微企业的，联合体视同小微企业。</w:t>
            </w:r>
          </w:p>
          <w:p>
            <w:pPr>
              <w:widowControl/>
              <w:spacing w:line="360" w:lineRule="exact"/>
              <w:jc w:val="left"/>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3）组成联合体或者接受分包合同的中小企业与联合体内其他企业、分包企业之间不得存在直接控股、管理关系。组成联合体或者接受分包的小微企业与联合体内其他企业、分包企业之间存在直接控股、管理关系的，不享受价格扣除优惠政策。</w:t>
            </w:r>
          </w:p>
          <w:p>
            <w:pPr>
              <w:widowControl/>
              <w:spacing w:line="360" w:lineRule="exact"/>
              <w:jc w:val="left"/>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（4）按规定享受扶持政策获得政府采购合同的，小微企业不得将合同分包给大中型企业，中型企业不得将合同分包给大型企业。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7" w:type="dxa"/>
            <w:shd w:val="clear" w:color="auto" w:fill="auto"/>
            <w:vAlign w:val="center"/>
          </w:tcPr>
          <w:p>
            <w:pPr>
              <w:topLinePunct/>
              <w:spacing w:line="360" w:lineRule="exact"/>
              <w:jc w:val="center"/>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4</w:t>
            </w:r>
          </w:p>
        </w:tc>
        <w:tc>
          <w:tcPr>
            <w:tcW w:w="1559" w:type="dxa"/>
            <w:shd w:val="clear" w:color="auto" w:fill="auto"/>
            <w:vAlign w:val="center"/>
          </w:tcPr>
          <w:p>
            <w:pPr>
              <w:topLinePunct/>
              <w:spacing w:line="360" w:lineRule="exact"/>
              <w:ind w:left="-84" w:leftChars="-40" w:right="-84" w:rightChars="-40"/>
              <w:jc w:val="center"/>
              <w:rPr>
                <w:rFonts w:asciiTheme="minorEastAsia" w:hAnsiTheme="minorEastAsia" w:eastAsiaTheme="minorEastAsia"/>
                <w:color w:val="auto"/>
                <w:sz w:val="24"/>
                <w:szCs w:val="24"/>
                <w:highlight w:val="none"/>
              </w:rPr>
            </w:pPr>
            <w:r>
              <w:rPr>
                <w:rFonts w:hint="eastAsia" w:asciiTheme="minorEastAsia" w:hAnsiTheme="minorEastAsia" w:eastAsiaTheme="minorEastAsia"/>
                <w:color w:val="auto"/>
                <w:sz w:val="24"/>
                <w:szCs w:val="24"/>
                <w:highlight w:val="none"/>
              </w:rPr>
              <w:t>评标方法</w:t>
            </w:r>
          </w:p>
        </w:tc>
        <w:tc>
          <w:tcPr>
            <w:tcW w:w="6379" w:type="dxa"/>
            <w:shd w:val="clear" w:color="auto" w:fill="auto"/>
          </w:tcPr>
          <w:p>
            <w:pPr>
              <w:topLinePunct/>
              <w:spacing w:line="360" w:lineRule="exact"/>
              <w:rPr>
                <w:rFonts w:asciiTheme="minorEastAsia" w:hAnsiTheme="minorEastAsia" w:eastAsiaTheme="minorEastAsia"/>
                <w:color w:val="auto"/>
                <w:sz w:val="24"/>
                <w:szCs w:val="24"/>
                <w:highlight w:val="none"/>
              </w:rPr>
            </w:pPr>
            <w:r>
              <w:rPr>
                <w:rFonts w:hint="eastAsia" w:asciiTheme="minorEastAsia" w:hAnsiTheme="minorEastAsia" w:eastAsiaTheme="minorEastAsia"/>
                <w:b/>
                <w:color w:val="auto"/>
                <w:sz w:val="24"/>
                <w:szCs w:val="24"/>
                <w:highlight w:val="none"/>
              </w:rPr>
              <w:t>综合评分法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7" w:type="dxa"/>
            <w:shd w:val="clear" w:color="auto" w:fill="auto"/>
            <w:vAlign w:val="center"/>
          </w:tcPr>
          <w:p>
            <w:pPr>
              <w:topLinePunct/>
              <w:spacing w:line="360" w:lineRule="exact"/>
              <w:jc w:val="center"/>
              <w:rPr>
                <w:rFonts w:asciiTheme="minorEastAsia" w:hAnsiTheme="minorEastAsia" w:eastAsiaTheme="minorEastAsia"/>
                <w:b/>
                <w:sz w:val="24"/>
                <w:szCs w:val="24"/>
                <w:highlight w:val="none"/>
              </w:rPr>
            </w:pPr>
            <w:r>
              <w:rPr>
                <w:rFonts w:hint="eastAsia" w:asciiTheme="minorEastAsia" w:hAnsiTheme="minorEastAsia" w:eastAsiaTheme="minorEastAsia"/>
                <w:b/>
                <w:sz w:val="24"/>
                <w:szCs w:val="24"/>
                <w:highlight w:val="none"/>
              </w:rPr>
              <w:t>5</w:t>
            </w:r>
          </w:p>
        </w:tc>
        <w:tc>
          <w:tcPr>
            <w:tcW w:w="1559" w:type="dxa"/>
            <w:shd w:val="clear" w:color="auto" w:fill="auto"/>
            <w:vAlign w:val="center"/>
          </w:tcPr>
          <w:p>
            <w:pPr>
              <w:topLinePunct/>
              <w:spacing w:line="360" w:lineRule="exact"/>
              <w:ind w:left="-84" w:leftChars="-40" w:right="-84" w:rightChars="-40"/>
              <w:jc w:val="center"/>
              <w:rPr>
                <w:rFonts w:asciiTheme="minorEastAsia" w:hAnsiTheme="minorEastAsia" w:eastAsiaTheme="minorEastAsia"/>
                <w:b/>
                <w:sz w:val="24"/>
                <w:szCs w:val="24"/>
                <w:highlight w:val="none"/>
              </w:rPr>
            </w:pPr>
            <w:r>
              <w:rPr>
                <w:rFonts w:hint="eastAsia" w:asciiTheme="minorEastAsia" w:hAnsiTheme="minorEastAsia" w:eastAsiaTheme="minorEastAsia"/>
                <w:b/>
                <w:sz w:val="24"/>
                <w:szCs w:val="24"/>
                <w:highlight w:val="none"/>
              </w:rPr>
              <w:t>供应商须提供的资格性证明材料</w:t>
            </w:r>
          </w:p>
          <w:p>
            <w:pPr>
              <w:topLinePunct/>
              <w:spacing w:line="360" w:lineRule="exact"/>
              <w:ind w:left="-84" w:leftChars="-40" w:right="-84" w:rightChars="-40"/>
              <w:jc w:val="center"/>
              <w:rPr>
                <w:rFonts w:asciiTheme="minorEastAsia" w:hAnsiTheme="minorEastAsia" w:eastAsiaTheme="minorEastAsia"/>
                <w:b/>
                <w:sz w:val="24"/>
                <w:szCs w:val="24"/>
                <w:highlight w:val="none"/>
              </w:rPr>
            </w:pPr>
          </w:p>
        </w:tc>
        <w:tc>
          <w:tcPr>
            <w:tcW w:w="6379" w:type="dxa"/>
            <w:shd w:val="clear" w:color="auto" w:fill="auto"/>
            <w:vAlign w:val="center"/>
          </w:tcPr>
          <w:p>
            <w:pPr>
              <w:topLinePunct/>
              <w:spacing w:line="360" w:lineRule="exact"/>
              <w:rPr>
                <w:rFonts w:asciiTheme="minorEastAsia" w:hAnsiTheme="minorEastAsia" w:eastAsiaTheme="minorEastAsia"/>
                <w:b/>
                <w:sz w:val="24"/>
                <w:szCs w:val="24"/>
                <w:highlight w:val="none"/>
              </w:rPr>
            </w:pPr>
            <w:r>
              <w:rPr>
                <w:rFonts w:hint="eastAsia" w:asciiTheme="minorEastAsia" w:hAnsiTheme="minorEastAsia" w:eastAsiaTheme="minorEastAsia"/>
                <w:b/>
                <w:sz w:val="24"/>
                <w:szCs w:val="24"/>
                <w:highlight w:val="none"/>
              </w:rPr>
              <w:t>(1)法人或者其他组织的营业执照等证明文件，自然人的身份证明（复印件盖鲜章）；</w:t>
            </w:r>
          </w:p>
          <w:p>
            <w:pPr>
              <w:adjustRightInd w:val="0"/>
              <w:spacing w:line="360" w:lineRule="exact"/>
              <w:rPr>
                <w:rFonts w:asciiTheme="minorEastAsia" w:hAnsiTheme="minorEastAsia" w:eastAsiaTheme="minorEastAsia"/>
                <w:b/>
                <w:sz w:val="24"/>
                <w:szCs w:val="24"/>
                <w:highlight w:val="none"/>
              </w:rPr>
            </w:pPr>
            <w:r>
              <w:rPr>
                <w:rFonts w:hint="eastAsia" w:asciiTheme="minorEastAsia" w:hAnsiTheme="minorEastAsia" w:eastAsiaTheme="minorEastAsia"/>
                <w:b/>
                <w:sz w:val="24"/>
                <w:szCs w:val="24"/>
                <w:highlight w:val="none"/>
              </w:rPr>
              <w:t>(2) 投标承诺及声明(承诺内容包括</w:t>
            </w:r>
            <w:r>
              <w:rPr>
                <w:rFonts w:hint="eastAsia" w:asciiTheme="minorEastAsia" w:hAnsiTheme="minorEastAsia" w:eastAsiaTheme="minorEastAsia"/>
                <w:b/>
                <w:sz w:val="24"/>
                <w:szCs w:val="24"/>
                <w:highlight w:val="none"/>
                <w:lang w:val="zh-CN"/>
              </w:rPr>
              <w:t>具有良好的商业信誉</w:t>
            </w:r>
            <w:r>
              <w:rPr>
                <w:rFonts w:asciiTheme="minorEastAsia" w:hAnsiTheme="minorEastAsia" w:eastAsiaTheme="minorEastAsia"/>
                <w:b/>
                <w:sz w:val="24"/>
                <w:szCs w:val="24"/>
                <w:highlight w:val="none"/>
              </w:rPr>
              <w:t>和健全的财务会计制度</w:t>
            </w:r>
            <w:r>
              <w:rPr>
                <w:rFonts w:hint="eastAsia" w:asciiTheme="minorEastAsia" w:hAnsiTheme="minorEastAsia" w:eastAsiaTheme="minorEastAsia"/>
                <w:b/>
                <w:sz w:val="24"/>
                <w:szCs w:val="24"/>
                <w:highlight w:val="none"/>
                <w:lang w:val="zh-CN"/>
              </w:rPr>
              <w:t>；具有履行合同所必需的设备和专业技术能力；有依法缴纳税收和社会保障资金的良好记录；参加本次政府采购活动前三年内在经营活动中没有列入失信被执行人、重大税收违法案件当事人名单、重大违法记录、</w:t>
            </w:r>
            <w:r>
              <w:rPr>
                <w:rFonts w:hint="eastAsia" w:asciiTheme="minorEastAsia" w:hAnsiTheme="minorEastAsia" w:eastAsiaTheme="minorEastAsia"/>
                <w:b/>
                <w:sz w:val="24"/>
                <w:szCs w:val="24"/>
                <w:highlight w:val="none"/>
              </w:rPr>
              <w:t>政府采购严重违法失信行为记录名单</w:t>
            </w:r>
            <w:r>
              <w:rPr>
                <w:rFonts w:hint="eastAsia" w:asciiTheme="minorEastAsia" w:hAnsiTheme="minorEastAsia" w:eastAsiaTheme="minorEastAsia"/>
                <w:b/>
                <w:sz w:val="24"/>
                <w:szCs w:val="24"/>
                <w:highlight w:val="none"/>
                <w:lang w:val="zh-CN"/>
              </w:rPr>
              <w:t>；</w:t>
            </w:r>
            <w:r>
              <w:rPr>
                <w:rFonts w:hint="eastAsia" w:asciiTheme="minorEastAsia" w:hAnsiTheme="minorEastAsia" w:eastAsiaTheme="minorEastAsia"/>
                <w:b/>
                <w:sz w:val="24"/>
                <w:szCs w:val="24"/>
                <w:highlight w:val="none"/>
              </w:rPr>
              <w:t>供应商及其现任法定代表人（负责人）5年没有行贿犯罪档案记录；</w:t>
            </w:r>
            <w:r>
              <w:rPr>
                <w:rFonts w:hint="eastAsia" w:asciiTheme="minorEastAsia" w:hAnsiTheme="minorEastAsia" w:eastAsiaTheme="minorEastAsia"/>
                <w:b/>
                <w:sz w:val="24"/>
                <w:szCs w:val="24"/>
                <w:highlight w:val="none"/>
                <w:lang w:val="zh-CN"/>
              </w:rPr>
              <w:t>格式详见投标文件格式</w:t>
            </w:r>
            <w:r>
              <w:rPr>
                <w:rFonts w:hint="eastAsia" w:asciiTheme="minorEastAsia" w:hAnsiTheme="minorEastAsia" w:eastAsiaTheme="minorEastAsia"/>
                <w:b/>
                <w:sz w:val="24"/>
                <w:szCs w:val="24"/>
                <w:highlight w:val="none"/>
              </w:rPr>
              <w:t>)。虚假承诺或未提供的取消其中标人资格。</w:t>
            </w:r>
          </w:p>
          <w:p>
            <w:pPr>
              <w:autoSpaceDE w:val="0"/>
              <w:autoSpaceDN w:val="0"/>
              <w:adjustRightInd w:val="0"/>
              <w:spacing w:line="360" w:lineRule="exact"/>
              <w:rPr>
                <w:rFonts w:asciiTheme="minorEastAsia" w:hAnsiTheme="minorEastAsia" w:eastAsiaTheme="minorEastAsia"/>
                <w:b/>
                <w:sz w:val="24"/>
                <w:szCs w:val="24"/>
                <w:highlight w:val="none"/>
              </w:rPr>
            </w:pPr>
            <w:r>
              <w:rPr>
                <w:rFonts w:hint="eastAsia" w:asciiTheme="minorEastAsia" w:hAnsiTheme="minorEastAsia" w:eastAsiaTheme="minorEastAsia"/>
                <w:b/>
                <w:sz w:val="24"/>
                <w:szCs w:val="24"/>
                <w:highlight w:val="none"/>
              </w:rPr>
              <w:t>(3)法律、行政法规规定的其他条件的证明材料(国家强制性要求的行政许可证书（复印件盖鲜章），如有)；</w:t>
            </w:r>
          </w:p>
          <w:p>
            <w:pPr>
              <w:topLinePunct/>
              <w:autoSpaceDE w:val="0"/>
              <w:autoSpaceDN w:val="0"/>
              <w:adjustRightInd w:val="0"/>
              <w:spacing w:line="360" w:lineRule="exact"/>
              <w:ind w:right="105" w:rightChars="50"/>
              <w:rPr>
                <w:rFonts w:hint="default" w:asciiTheme="minorEastAsia" w:hAnsiTheme="minorEastAsia" w:eastAsiaTheme="minorEastAsia"/>
                <w:b/>
                <w:color w:val="000000"/>
                <w:sz w:val="24"/>
                <w:szCs w:val="24"/>
                <w:highlight w:val="none"/>
                <w:lang w:val="en-US" w:eastAsia="zh-CN"/>
              </w:rPr>
            </w:pPr>
            <w:r>
              <w:rPr>
                <w:rFonts w:hint="eastAsia" w:asciiTheme="minorEastAsia" w:hAnsiTheme="minorEastAsia" w:eastAsiaTheme="minorEastAsia"/>
                <w:b/>
                <w:sz w:val="24"/>
                <w:szCs w:val="24"/>
                <w:highlight w:val="none"/>
              </w:rPr>
              <w:t>(4)根据采购项目提出的特殊条件的证明材料：</w:t>
            </w:r>
            <w:r>
              <w:rPr>
                <w:rFonts w:hint="eastAsia" w:asciiTheme="minorEastAsia" w:hAnsiTheme="minorEastAsia" w:eastAsiaTheme="minorEastAsia"/>
                <w:b/>
                <w:color w:val="auto"/>
                <w:sz w:val="24"/>
                <w:szCs w:val="24"/>
                <w:highlight w:val="none"/>
                <w:u w:val="single"/>
                <w:lang w:val="en-US" w:eastAsia="zh-CN"/>
              </w:rPr>
              <w:t>/</w:t>
            </w:r>
            <w:r>
              <w:rPr>
                <w:rFonts w:hint="eastAsia" w:asciiTheme="minorEastAsia" w:hAnsiTheme="minorEastAsia" w:eastAsiaTheme="minorEastAsia"/>
                <w:b/>
                <w:sz w:val="24"/>
                <w:szCs w:val="24"/>
                <w:highlight w:val="none"/>
              </w:rPr>
              <w:t>（复印件盖鲜章）。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7" w:type="dxa"/>
            <w:shd w:val="clear" w:color="auto" w:fill="auto"/>
            <w:vAlign w:val="center"/>
          </w:tcPr>
          <w:p>
            <w:pPr>
              <w:topLinePunct/>
              <w:spacing w:line="360" w:lineRule="exact"/>
              <w:jc w:val="center"/>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6</w:t>
            </w:r>
          </w:p>
        </w:tc>
        <w:tc>
          <w:tcPr>
            <w:tcW w:w="1559" w:type="dxa"/>
            <w:shd w:val="clear" w:color="auto" w:fill="auto"/>
            <w:vAlign w:val="center"/>
          </w:tcPr>
          <w:p>
            <w:pPr>
              <w:topLinePunct/>
              <w:spacing w:line="360" w:lineRule="exact"/>
              <w:ind w:left="-84" w:leftChars="-40" w:right="-84" w:rightChars="-40"/>
              <w:jc w:val="center"/>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评标情况公告</w:t>
            </w:r>
          </w:p>
        </w:tc>
        <w:tc>
          <w:tcPr>
            <w:tcW w:w="6379" w:type="dxa"/>
            <w:shd w:val="clear" w:color="auto" w:fill="auto"/>
          </w:tcPr>
          <w:p>
            <w:pPr>
              <w:topLinePunct/>
              <w:spacing w:line="360" w:lineRule="exact"/>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评标情况</w:t>
            </w:r>
            <w:r>
              <w:rPr>
                <w:rFonts w:hint="eastAsia" w:asciiTheme="minorEastAsia" w:hAnsiTheme="minorEastAsia" w:eastAsiaTheme="minorEastAsia"/>
                <w:sz w:val="24"/>
                <w:szCs w:val="24"/>
                <w:highlight w:val="none"/>
                <w:lang w:val="zh-CN" w:eastAsia="zh-CN"/>
              </w:rPr>
              <w:t>等</w:t>
            </w:r>
            <w:r>
              <w:rPr>
                <w:rFonts w:hint="eastAsia" w:asciiTheme="minorEastAsia" w:hAnsiTheme="minorEastAsia" w:eastAsiaTheme="minorEastAsia"/>
                <w:sz w:val="24"/>
                <w:szCs w:val="24"/>
                <w:highlight w:val="none"/>
                <w:lang w:val="en-US" w:eastAsia="zh-CN"/>
              </w:rPr>
              <w:t>在</w:t>
            </w:r>
            <w:r>
              <w:rPr>
                <w:rFonts w:hint="eastAsia" w:asciiTheme="minorEastAsia" w:hAnsiTheme="minorEastAsia" w:eastAsiaTheme="minorEastAsia"/>
                <w:sz w:val="24"/>
                <w:szCs w:val="24"/>
                <w:highlight w:val="none"/>
                <w:lang w:val="zh-CN"/>
              </w:rPr>
              <w:t>眉山市政府采购网、四川政府采购网</w:t>
            </w:r>
            <w:r>
              <w:rPr>
                <w:rFonts w:hint="eastAsia" w:asciiTheme="minorEastAsia" w:hAnsiTheme="minorEastAsia" w:eastAsiaTheme="minorEastAsia"/>
                <w:sz w:val="24"/>
                <w:szCs w:val="24"/>
                <w:highlight w:val="none"/>
              </w:rPr>
              <w:t>(http://www.ccgp-sichuan.gov.cn)</w:t>
            </w:r>
            <w:r>
              <w:rPr>
                <w:rFonts w:hint="eastAsia" w:asciiTheme="minorEastAsia" w:hAnsiTheme="minorEastAsia" w:eastAsiaTheme="minorEastAsia"/>
                <w:sz w:val="24"/>
                <w:szCs w:val="24"/>
                <w:highlight w:val="none"/>
                <w:lang w:val="zh-CN"/>
              </w:rPr>
              <w:t>、四川中岚工程项目管理有限公司官网</w:t>
            </w:r>
            <w:r>
              <w:rPr>
                <w:rFonts w:hint="eastAsia" w:asciiTheme="minorEastAsia" w:hAnsiTheme="minorEastAsia" w:eastAsiaTheme="minorEastAsia"/>
                <w:sz w:val="24"/>
                <w:szCs w:val="24"/>
                <w:highlight w:val="none"/>
              </w:rPr>
              <w:t>（http://www.sczlgl.com）</w:t>
            </w:r>
            <w:r>
              <w:rPr>
                <w:rFonts w:hint="eastAsia" w:asciiTheme="minorEastAsia" w:hAnsiTheme="minorEastAsia" w:eastAsiaTheme="minorEastAsia"/>
                <w:sz w:val="24"/>
                <w:szCs w:val="24"/>
                <w:highlight w:val="none"/>
                <w:lang w:val="en-US" w:eastAsia="zh-CN"/>
              </w:rPr>
              <w:t>上</w:t>
            </w:r>
            <w:r>
              <w:rPr>
                <w:rFonts w:hint="eastAsia" w:ascii="宋体" w:hAnsi="宋体" w:cs="宋体"/>
                <w:color w:val="000000"/>
                <w:sz w:val="24"/>
                <w:szCs w:val="24"/>
                <w:lang w:val="zh-CN" w:eastAsia="zh-CN"/>
              </w:rPr>
              <w:t>结果</w:t>
            </w:r>
            <w:r>
              <w:rPr>
                <w:rFonts w:hint="eastAsia" w:asciiTheme="minorEastAsia" w:hAnsiTheme="minorEastAsia" w:eastAsiaTheme="minorEastAsia"/>
                <w:sz w:val="24"/>
                <w:szCs w:val="24"/>
                <w:highlight w:val="none"/>
              </w:rPr>
              <w:t>公告栏中予以公告。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7" w:type="dxa"/>
            <w:shd w:val="clear" w:color="auto" w:fill="auto"/>
            <w:vAlign w:val="center"/>
          </w:tcPr>
          <w:p>
            <w:pPr>
              <w:spacing w:line="360" w:lineRule="exact"/>
              <w:jc w:val="center"/>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7</w:t>
            </w:r>
          </w:p>
        </w:tc>
        <w:tc>
          <w:tcPr>
            <w:tcW w:w="1559" w:type="dxa"/>
            <w:shd w:val="clear" w:color="auto" w:fill="auto"/>
            <w:vAlign w:val="center"/>
          </w:tcPr>
          <w:p>
            <w:pPr>
              <w:spacing w:line="360" w:lineRule="exact"/>
              <w:ind w:left="-84" w:leftChars="-40" w:right="-84" w:rightChars="-40"/>
              <w:jc w:val="center"/>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联合体投标</w:t>
            </w:r>
          </w:p>
        </w:tc>
        <w:tc>
          <w:tcPr>
            <w:tcW w:w="6379" w:type="dxa"/>
            <w:shd w:val="clear" w:color="auto" w:fill="auto"/>
          </w:tcPr>
          <w:p>
            <w:pPr>
              <w:topLinePunct/>
              <w:spacing w:line="360" w:lineRule="exact"/>
              <w:rPr>
                <w:rFonts w:asciiTheme="minorEastAsia" w:hAnsiTheme="minorEastAsia" w:eastAsiaTheme="minorEastAsia"/>
                <w:color w:val="auto"/>
                <w:sz w:val="24"/>
                <w:szCs w:val="24"/>
                <w:highlight w:val="none"/>
              </w:rPr>
            </w:pPr>
            <w:bookmarkStart w:id="9" w:name="EBfccd27bf74f44c6fb5632a71fb45f690"/>
            <w:r>
              <w:rPr>
                <w:rFonts w:hint="eastAsia" w:asciiTheme="minorEastAsia" w:hAnsiTheme="minorEastAsia" w:eastAsiaTheme="minorEastAsia"/>
                <w:color w:val="auto"/>
                <w:sz w:val="24"/>
                <w:szCs w:val="24"/>
                <w:highlight w:val="none"/>
              </w:rPr>
              <w:t>☑不允许</w:t>
            </w:r>
            <w:bookmarkEnd w:id="9"/>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6" w:hRule="atLeast"/>
        </w:trPr>
        <w:tc>
          <w:tcPr>
            <w:tcW w:w="817" w:type="dxa"/>
            <w:shd w:val="clear" w:color="auto" w:fill="auto"/>
            <w:vAlign w:val="center"/>
          </w:tcPr>
          <w:p>
            <w:pPr>
              <w:spacing w:line="360" w:lineRule="exact"/>
              <w:jc w:val="center"/>
              <w:rPr>
                <w:rFonts w:hint="eastAsia" w:cs="Courier New" w:asciiTheme="minorEastAsia" w:hAnsiTheme="minorEastAsia" w:eastAsiaTheme="minorEastAsia"/>
                <w:color w:val="000000"/>
                <w:sz w:val="24"/>
                <w:szCs w:val="24"/>
                <w:highlight w:val="none"/>
                <w:lang w:val="zh-CN" w:eastAsia="zh-CN"/>
              </w:rPr>
            </w:pPr>
            <w:r>
              <w:rPr>
                <w:rFonts w:hint="eastAsia" w:asciiTheme="minorEastAsia" w:hAnsiTheme="minorEastAsia" w:eastAsiaTheme="minorEastAsia"/>
                <w:sz w:val="24"/>
                <w:szCs w:val="24"/>
                <w:highlight w:val="none"/>
                <w:lang w:val="en-US" w:eastAsia="zh-CN"/>
              </w:rPr>
              <w:t>8</w:t>
            </w:r>
          </w:p>
        </w:tc>
        <w:tc>
          <w:tcPr>
            <w:tcW w:w="1559" w:type="dxa"/>
            <w:shd w:val="clear" w:color="auto" w:fill="auto"/>
            <w:vAlign w:val="center"/>
          </w:tcPr>
          <w:p>
            <w:pPr>
              <w:pStyle w:val="34"/>
              <w:topLinePunct/>
              <w:spacing w:line="360" w:lineRule="exact"/>
              <w:ind w:left="-84" w:leftChars="-40" w:right="-84" w:rightChars="-40"/>
              <w:jc w:val="center"/>
              <w:rPr>
                <w:rFonts w:asciiTheme="minorEastAsia" w:hAnsiTheme="minorEastAsia" w:eastAsiaTheme="minorEastAsia"/>
                <w:color w:val="000000"/>
                <w:highlight w:val="none"/>
                <w:lang w:val="zh-CN"/>
              </w:rPr>
            </w:pPr>
            <w:r>
              <w:rPr>
                <w:rFonts w:hint="eastAsia" w:asciiTheme="minorEastAsia" w:hAnsiTheme="minorEastAsia" w:eastAsiaTheme="minorEastAsia"/>
                <w:color w:val="000000"/>
                <w:highlight w:val="none"/>
                <w:lang w:val="zh-CN"/>
              </w:rPr>
              <w:t>投标保证金</w:t>
            </w:r>
          </w:p>
        </w:tc>
        <w:tc>
          <w:tcPr>
            <w:tcW w:w="6379" w:type="dxa"/>
            <w:shd w:val="clear" w:color="auto" w:fill="auto"/>
            <w:vAlign w:val="center"/>
          </w:tcPr>
          <w:p>
            <w:pPr>
              <w:topLinePunct/>
              <w:spacing w:line="360" w:lineRule="exact"/>
              <w:rPr>
                <w:rFonts w:asciiTheme="minorEastAsia" w:hAnsiTheme="minorEastAsia" w:eastAsiaTheme="minorEastAsia"/>
                <w:color w:val="auto"/>
                <w:sz w:val="24"/>
                <w:szCs w:val="24"/>
                <w:highlight w:val="none"/>
              </w:rPr>
            </w:pPr>
            <w:r>
              <w:rPr>
                <w:rFonts w:hint="eastAsia" w:asciiTheme="minorEastAsia" w:hAnsiTheme="minorEastAsia" w:eastAsiaTheme="minorEastAsia"/>
                <w:color w:val="auto"/>
                <w:sz w:val="24"/>
                <w:szCs w:val="24"/>
                <w:highlight w:val="none"/>
              </w:rPr>
              <w:t>本项目不收取保证金。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7" w:type="dxa"/>
            <w:shd w:val="clear" w:color="auto" w:fill="auto"/>
            <w:vAlign w:val="center"/>
          </w:tcPr>
          <w:p>
            <w:pPr>
              <w:pStyle w:val="34"/>
              <w:topLinePunct/>
              <w:spacing w:line="360" w:lineRule="exact"/>
              <w:ind w:right="230"/>
              <w:jc w:val="center"/>
              <w:rPr>
                <w:rFonts w:hint="eastAsia" w:cs="Courier New" w:asciiTheme="minorEastAsia" w:hAnsiTheme="minorEastAsia" w:eastAsiaTheme="minorEastAsia"/>
                <w:highlight w:val="none"/>
                <w:lang w:val="zh-CN" w:eastAsia="zh-CN"/>
              </w:rPr>
            </w:pPr>
            <w:r>
              <w:rPr>
                <w:rFonts w:hint="eastAsia" w:cs="Courier New" w:asciiTheme="minorEastAsia" w:hAnsiTheme="minorEastAsia" w:eastAsiaTheme="minorEastAsia"/>
                <w:highlight w:val="none"/>
                <w:lang w:val="en-US" w:eastAsia="zh-CN"/>
              </w:rPr>
              <w:t xml:space="preserve"> 9</w:t>
            </w:r>
          </w:p>
        </w:tc>
        <w:tc>
          <w:tcPr>
            <w:tcW w:w="1559" w:type="dxa"/>
            <w:shd w:val="clear" w:color="auto" w:fill="auto"/>
            <w:vAlign w:val="center"/>
          </w:tcPr>
          <w:p>
            <w:pPr>
              <w:pStyle w:val="34"/>
              <w:topLinePunct/>
              <w:spacing w:line="360" w:lineRule="exact"/>
              <w:ind w:left="-84" w:leftChars="-40" w:right="-84" w:rightChars="-40"/>
              <w:jc w:val="center"/>
              <w:rPr>
                <w:rFonts w:asciiTheme="minorEastAsia" w:hAnsiTheme="minorEastAsia" w:eastAsiaTheme="minorEastAsia"/>
                <w:highlight w:val="none"/>
                <w:lang w:val="zh-CN"/>
              </w:rPr>
            </w:pPr>
            <w:r>
              <w:rPr>
                <w:rFonts w:hint="eastAsia" w:asciiTheme="minorEastAsia" w:hAnsiTheme="minorEastAsia" w:eastAsiaTheme="minorEastAsia"/>
                <w:highlight w:val="none"/>
                <w:lang w:val="zh-CN"/>
              </w:rPr>
              <w:t>履约保证金</w:t>
            </w:r>
          </w:p>
        </w:tc>
        <w:tc>
          <w:tcPr>
            <w:tcW w:w="6379" w:type="dxa"/>
            <w:shd w:val="clear" w:color="auto" w:fill="auto"/>
            <w:vAlign w:val="center"/>
          </w:tcPr>
          <w:p>
            <w:pPr>
              <w:topLinePunct/>
              <w:spacing w:line="360" w:lineRule="exact"/>
              <w:ind w:firstLine="120" w:firstLineChars="50"/>
              <w:rPr>
                <w:rFonts w:asciiTheme="minorEastAsia" w:hAnsiTheme="minorEastAsia" w:eastAsiaTheme="minorEastAsia"/>
                <w:sz w:val="24"/>
                <w:szCs w:val="24"/>
                <w:highlight w:val="none"/>
                <w:u w:val="single"/>
              </w:rPr>
            </w:pPr>
            <w:r>
              <w:rPr>
                <w:rFonts w:hint="eastAsia" w:asciiTheme="minorEastAsia" w:hAnsiTheme="minorEastAsia" w:eastAsiaTheme="minorEastAsia"/>
                <w:sz w:val="24"/>
                <w:szCs w:val="24"/>
                <w:highlight w:val="none"/>
                <w:lang w:val="zh-CN"/>
              </w:rPr>
              <w:t>本项目不再收取履约保证金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7" w:type="dxa"/>
            <w:shd w:val="clear" w:color="auto" w:fill="auto"/>
            <w:vAlign w:val="center"/>
          </w:tcPr>
          <w:p>
            <w:pPr>
              <w:pStyle w:val="34"/>
              <w:topLinePunct/>
              <w:spacing w:line="360" w:lineRule="exact"/>
              <w:ind w:right="230"/>
              <w:jc w:val="center"/>
              <w:rPr>
                <w:rFonts w:hint="default" w:cs="Courier New" w:asciiTheme="minorEastAsia" w:hAnsiTheme="minorEastAsia" w:eastAsiaTheme="minorEastAsia"/>
                <w:highlight w:val="none"/>
                <w:lang w:val="en-US" w:eastAsia="zh-CN"/>
              </w:rPr>
            </w:pPr>
            <w:r>
              <w:rPr>
                <w:rFonts w:hint="eastAsia" w:cs="Courier New" w:asciiTheme="minorEastAsia" w:hAnsiTheme="minorEastAsia" w:eastAsiaTheme="minorEastAsia"/>
                <w:highlight w:val="none"/>
                <w:lang w:val="en-US" w:eastAsia="zh-CN"/>
              </w:rPr>
              <w:t>10</w:t>
            </w:r>
          </w:p>
        </w:tc>
        <w:tc>
          <w:tcPr>
            <w:tcW w:w="1559" w:type="dxa"/>
            <w:shd w:val="clear" w:color="auto" w:fill="auto"/>
            <w:vAlign w:val="center"/>
          </w:tcPr>
          <w:p>
            <w:pPr>
              <w:pStyle w:val="34"/>
              <w:topLinePunct/>
              <w:spacing w:line="360" w:lineRule="exact"/>
              <w:ind w:left="-84" w:leftChars="-40" w:right="-84" w:rightChars="-40"/>
              <w:jc w:val="center"/>
              <w:rPr>
                <w:rFonts w:asciiTheme="minorEastAsia" w:hAnsiTheme="minorEastAsia" w:eastAsiaTheme="minorEastAsia"/>
                <w:highlight w:val="none"/>
              </w:rPr>
            </w:pPr>
            <w:r>
              <w:rPr>
                <w:rFonts w:hint="eastAsia" w:asciiTheme="minorEastAsia" w:hAnsiTheme="minorEastAsia" w:eastAsiaTheme="minorEastAsia"/>
                <w:highlight w:val="none"/>
              </w:rPr>
              <w:t>答疑会和现场考察</w:t>
            </w:r>
          </w:p>
        </w:tc>
        <w:tc>
          <w:tcPr>
            <w:tcW w:w="6379" w:type="dxa"/>
            <w:shd w:val="clear" w:color="auto" w:fill="auto"/>
            <w:vAlign w:val="center"/>
          </w:tcPr>
          <w:p>
            <w:pPr>
              <w:topLinePunct/>
              <w:spacing w:line="360" w:lineRule="exact"/>
              <w:rPr>
                <w:rFonts w:asciiTheme="minorEastAsia" w:hAnsiTheme="minorEastAsia" w:eastAsiaTheme="minorEastAsia"/>
                <w:sz w:val="24"/>
                <w:szCs w:val="24"/>
                <w:highlight w:val="none"/>
              </w:rPr>
            </w:pPr>
            <w:bookmarkStart w:id="10" w:name="EBbce515b995eb488eb091dc3d97c91ec7"/>
            <w:r>
              <w:rPr>
                <w:rFonts w:hint="eastAsia" w:hAnsi="MS Mincho" w:eastAsia="MS Mincho" w:cs="MS Mincho" w:asciiTheme="minorEastAsia"/>
                <w:color w:val="auto"/>
                <w:highlight w:val="none"/>
              </w:rPr>
              <w:t>☑</w:t>
            </w:r>
            <w:r>
              <w:rPr>
                <w:rFonts w:hint="eastAsia" w:asciiTheme="minorEastAsia" w:hAnsiTheme="minorEastAsia" w:eastAsiaTheme="minorEastAsia"/>
                <w:color w:val="auto"/>
                <w:highlight w:val="none"/>
              </w:rPr>
              <w:t>本项目不组织答疑会和现场考察</w:t>
            </w:r>
            <w:r>
              <w:rPr>
                <w:rFonts w:hint="eastAsia" w:cs="MS Mincho" w:asciiTheme="minorEastAsia" w:hAnsiTheme="minorEastAsia" w:eastAsiaTheme="minorEastAsia"/>
                <w:color w:val="auto"/>
                <w:highlight w:val="none"/>
              </w:rPr>
              <w:t>。</w:t>
            </w:r>
            <w:bookmarkEnd w:id="10"/>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7" w:type="dxa"/>
            <w:shd w:val="clear" w:color="auto" w:fill="auto"/>
            <w:vAlign w:val="center"/>
          </w:tcPr>
          <w:p>
            <w:pPr>
              <w:pStyle w:val="34"/>
              <w:topLinePunct/>
              <w:spacing w:line="360" w:lineRule="exact"/>
              <w:ind w:right="230"/>
              <w:jc w:val="center"/>
              <w:rPr>
                <w:rFonts w:hint="default" w:cs="Courier New" w:asciiTheme="minorEastAsia" w:hAnsiTheme="minorEastAsia" w:eastAsiaTheme="minorEastAsia"/>
                <w:color w:val="000000"/>
                <w:highlight w:val="none"/>
                <w:lang w:val="en-US" w:eastAsia="zh-CN"/>
              </w:rPr>
            </w:pPr>
            <w:r>
              <w:rPr>
                <w:rFonts w:hint="eastAsia" w:cs="Courier New" w:asciiTheme="minorEastAsia" w:hAnsiTheme="minorEastAsia" w:eastAsiaTheme="minorEastAsia"/>
                <w:color w:val="000000"/>
                <w:highlight w:val="none"/>
                <w:lang w:val="en-US" w:eastAsia="zh-CN"/>
              </w:rPr>
              <w:t>11</w:t>
            </w:r>
          </w:p>
        </w:tc>
        <w:tc>
          <w:tcPr>
            <w:tcW w:w="1559" w:type="dxa"/>
            <w:shd w:val="clear" w:color="auto" w:fill="auto"/>
            <w:vAlign w:val="center"/>
          </w:tcPr>
          <w:p>
            <w:pPr>
              <w:pStyle w:val="34"/>
              <w:topLinePunct/>
              <w:spacing w:line="360" w:lineRule="exact"/>
              <w:ind w:left="-84" w:leftChars="-40" w:right="-84" w:rightChars="-40"/>
              <w:jc w:val="center"/>
              <w:rPr>
                <w:rFonts w:asciiTheme="minorEastAsia" w:hAnsiTheme="minorEastAsia" w:eastAsiaTheme="minorEastAsia"/>
                <w:color w:val="000000"/>
                <w:highlight w:val="none"/>
                <w:lang w:val="zh-CN"/>
              </w:rPr>
            </w:pPr>
            <w:r>
              <w:rPr>
                <w:rFonts w:hint="eastAsia" w:asciiTheme="minorEastAsia" w:hAnsiTheme="minorEastAsia" w:eastAsiaTheme="minorEastAsia"/>
                <w:color w:val="000000"/>
                <w:highlight w:val="none"/>
                <w:lang w:val="zh-CN"/>
              </w:rPr>
              <w:t>投标文件格式</w:t>
            </w:r>
          </w:p>
        </w:tc>
        <w:tc>
          <w:tcPr>
            <w:tcW w:w="6379" w:type="dxa"/>
            <w:shd w:val="clear" w:color="auto" w:fill="auto"/>
            <w:vAlign w:val="center"/>
          </w:tcPr>
          <w:p>
            <w:pPr>
              <w:topLinePunct/>
              <w:spacing w:line="360" w:lineRule="exact"/>
              <w:rPr>
                <w:rFonts w:asciiTheme="minorEastAsia" w:hAnsiTheme="minorEastAsia" w:eastAsiaTheme="minorEastAsia"/>
                <w:kern w:val="21"/>
                <w:sz w:val="24"/>
                <w:szCs w:val="24"/>
                <w:highlight w:val="none"/>
              </w:rPr>
            </w:pPr>
            <w:r>
              <w:rPr>
                <w:rFonts w:hint="eastAsia" w:asciiTheme="minorEastAsia" w:hAnsiTheme="minorEastAsia" w:eastAsiaTheme="minorEastAsia"/>
                <w:kern w:val="21"/>
                <w:sz w:val="24"/>
                <w:szCs w:val="24"/>
                <w:highlight w:val="none"/>
              </w:rPr>
              <w:t>投标文件应按第三章“投标文件格式”进行编写：</w:t>
            </w:r>
          </w:p>
          <w:p>
            <w:pPr>
              <w:topLinePunct/>
              <w:spacing w:line="360" w:lineRule="exact"/>
              <w:ind w:firstLine="240" w:firstLineChars="100"/>
              <w:rPr>
                <w:rFonts w:asciiTheme="minorEastAsia" w:hAnsiTheme="minorEastAsia" w:eastAsiaTheme="minorEastAsia"/>
                <w:kern w:val="21"/>
                <w:sz w:val="24"/>
                <w:szCs w:val="24"/>
                <w:highlight w:val="none"/>
              </w:rPr>
            </w:pPr>
            <w:r>
              <w:rPr>
                <w:rFonts w:hint="eastAsia" w:cs="宋体" w:asciiTheme="minorEastAsia" w:hAnsiTheme="minorEastAsia" w:eastAsiaTheme="minorEastAsia"/>
                <w:kern w:val="21"/>
                <w:sz w:val="24"/>
                <w:szCs w:val="24"/>
                <w:highlight w:val="none"/>
              </w:rPr>
              <w:t>(1)</w:t>
            </w:r>
            <w:r>
              <w:rPr>
                <w:rFonts w:hint="eastAsia" w:asciiTheme="minorEastAsia" w:hAnsiTheme="minorEastAsia" w:eastAsiaTheme="minorEastAsia"/>
                <w:kern w:val="21"/>
                <w:sz w:val="24"/>
                <w:szCs w:val="24"/>
                <w:highlight w:val="none"/>
              </w:rPr>
              <w:t>投标人可以在格式内容之外另行说明和增加相关内容，作为投标文件的组成部分；</w:t>
            </w:r>
          </w:p>
          <w:p>
            <w:pPr>
              <w:topLinePunct/>
              <w:spacing w:line="360" w:lineRule="exact"/>
              <w:ind w:firstLine="240" w:firstLineChars="100"/>
              <w:rPr>
                <w:rFonts w:asciiTheme="minorEastAsia" w:hAnsiTheme="minorEastAsia" w:eastAsiaTheme="minorEastAsia"/>
                <w:kern w:val="21"/>
                <w:sz w:val="24"/>
                <w:szCs w:val="24"/>
                <w:highlight w:val="none"/>
              </w:rPr>
            </w:pPr>
            <w:r>
              <w:rPr>
                <w:rFonts w:hint="eastAsia" w:cs="宋体" w:asciiTheme="minorEastAsia" w:hAnsiTheme="minorEastAsia" w:eastAsiaTheme="minorEastAsia"/>
                <w:kern w:val="21"/>
                <w:sz w:val="24"/>
                <w:szCs w:val="24"/>
                <w:highlight w:val="none"/>
              </w:rPr>
              <w:t>(2)</w:t>
            </w:r>
            <w:r>
              <w:rPr>
                <w:rFonts w:hint="eastAsia" w:asciiTheme="minorEastAsia" w:hAnsiTheme="minorEastAsia" w:eastAsiaTheme="minorEastAsia"/>
                <w:kern w:val="21"/>
                <w:sz w:val="24"/>
                <w:szCs w:val="24"/>
                <w:highlight w:val="none"/>
              </w:rPr>
              <w:t>按投标文件格式在空格(下划线)处由投标人填写的内容，确实没有需要填写的，可以在空格中用“/”标示，也可以不填(空白)；但招标文件中另有规定的从其规定；</w:t>
            </w:r>
          </w:p>
          <w:p>
            <w:pPr>
              <w:topLinePunct/>
              <w:spacing w:line="360" w:lineRule="exact"/>
              <w:ind w:firstLine="240" w:firstLineChars="100"/>
              <w:rPr>
                <w:rFonts w:asciiTheme="minorEastAsia" w:hAnsiTheme="minorEastAsia" w:eastAsiaTheme="minorEastAsia"/>
                <w:kern w:val="21"/>
                <w:sz w:val="24"/>
                <w:szCs w:val="24"/>
                <w:highlight w:val="none"/>
              </w:rPr>
            </w:pPr>
            <w:r>
              <w:rPr>
                <w:rFonts w:hint="eastAsia" w:cs="宋体" w:asciiTheme="minorEastAsia" w:hAnsiTheme="minorEastAsia" w:eastAsiaTheme="minorEastAsia"/>
                <w:kern w:val="21"/>
                <w:sz w:val="24"/>
                <w:szCs w:val="24"/>
                <w:highlight w:val="none"/>
              </w:rPr>
              <w:t>(3)</w:t>
            </w:r>
            <w:r>
              <w:rPr>
                <w:rFonts w:hint="eastAsia" w:asciiTheme="minorEastAsia" w:hAnsiTheme="minorEastAsia" w:eastAsiaTheme="minorEastAsia"/>
                <w:kern w:val="21"/>
                <w:sz w:val="24"/>
                <w:szCs w:val="24"/>
                <w:highlight w:val="none"/>
              </w:rPr>
              <w:t>投标文件内容应完整，字迹清晰可辨；</w:t>
            </w:r>
          </w:p>
          <w:p>
            <w:pPr>
              <w:topLinePunct/>
              <w:spacing w:line="360" w:lineRule="exact"/>
              <w:ind w:firstLine="240" w:firstLineChars="100"/>
              <w:rPr>
                <w:rFonts w:asciiTheme="minorEastAsia" w:hAnsiTheme="minorEastAsia" w:eastAsiaTheme="minorEastAsia"/>
                <w:b/>
                <w:sz w:val="24"/>
                <w:szCs w:val="24"/>
                <w:highlight w:val="none"/>
                <w:u w:val="single"/>
              </w:rPr>
            </w:pPr>
            <w:r>
              <w:rPr>
                <w:rFonts w:hint="eastAsia" w:asciiTheme="minorEastAsia" w:hAnsiTheme="minorEastAsia" w:eastAsiaTheme="minorEastAsia"/>
                <w:kern w:val="21"/>
                <w:sz w:val="24"/>
                <w:szCs w:val="24"/>
                <w:highlight w:val="none"/>
              </w:rPr>
              <w:t>(4)投标文件所附证明材料应内容完整并清晰可辨，若不完整或字迹、印章模糊的、不能识别的，视为未提供。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7" w:type="dxa"/>
            <w:shd w:val="clear" w:color="auto" w:fill="auto"/>
            <w:vAlign w:val="center"/>
          </w:tcPr>
          <w:p>
            <w:pPr>
              <w:pStyle w:val="34"/>
              <w:topLinePunct/>
              <w:spacing w:line="360" w:lineRule="exact"/>
              <w:ind w:right="230"/>
              <w:jc w:val="center"/>
              <w:rPr>
                <w:rFonts w:hint="default" w:cs="Courier New" w:asciiTheme="minorEastAsia" w:hAnsiTheme="minorEastAsia" w:eastAsiaTheme="minorEastAsia"/>
                <w:color w:val="000000"/>
                <w:highlight w:val="none"/>
                <w:lang w:val="en-US" w:eastAsia="zh-CN"/>
              </w:rPr>
            </w:pPr>
            <w:r>
              <w:rPr>
                <w:rFonts w:hint="eastAsia" w:cs="Courier New" w:asciiTheme="minorEastAsia" w:hAnsiTheme="minorEastAsia" w:eastAsiaTheme="minorEastAsia"/>
                <w:color w:val="000000"/>
                <w:highlight w:val="none"/>
                <w:lang w:val="en-US" w:eastAsia="zh-CN"/>
              </w:rPr>
              <w:t>12</w:t>
            </w:r>
          </w:p>
        </w:tc>
        <w:tc>
          <w:tcPr>
            <w:tcW w:w="1559" w:type="dxa"/>
            <w:shd w:val="clear" w:color="auto" w:fill="auto"/>
            <w:vAlign w:val="center"/>
          </w:tcPr>
          <w:p>
            <w:pPr>
              <w:pStyle w:val="34"/>
              <w:topLinePunct/>
              <w:spacing w:line="360" w:lineRule="exact"/>
              <w:ind w:left="-84" w:leftChars="-40" w:right="-84" w:rightChars="-40"/>
              <w:jc w:val="center"/>
              <w:rPr>
                <w:rFonts w:asciiTheme="minorEastAsia" w:hAnsiTheme="minorEastAsia" w:eastAsiaTheme="minorEastAsia"/>
                <w:color w:val="000000"/>
                <w:highlight w:val="none"/>
                <w:lang w:val="zh-CN"/>
              </w:rPr>
            </w:pPr>
            <w:r>
              <w:rPr>
                <w:rFonts w:hint="eastAsia" w:asciiTheme="minorEastAsia" w:hAnsiTheme="minorEastAsia" w:eastAsiaTheme="minorEastAsia"/>
                <w:color w:val="000000"/>
                <w:highlight w:val="none"/>
                <w:lang w:val="zh-CN"/>
              </w:rPr>
              <w:t>投标文件签署</w:t>
            </w:r>
          </w:p>
        </w:tc>
        <w:tc>
          <w:tcPr>
            <w:tcW w:w="6379" w:type="dxa"/>
            <w:shd w:val="clear" w:color="auto" w:fill="auto"/>
            <w:vAlign w:val="center"/>
          </w:tcPr>
          <w:p>
            <w:pPr>
              <w:topLinePunct/>
              <w:autoSpaceDE w:val="0"/>
              <w:autoSpaceDN w:val="0"/>
              <w:adjustRightInd w:val="0"/>
              <w:spacing w:line="360" w:lineRule="exact"/>
              <w:rPr>
                <w:rFonts w:asciiTheme="minorEastAsia" w:hAnsiTheme="minorEastAsia" w:eastAsiaTheme="minorEastAsia"/>
                <w:b/>
                <w:sz w:val="24"/>
                <w:szCs w:val="24"/>
                <w:highlight w:val="none"/>
              </w:rPr>
            </w:pPr>
            <w:r>
              <w:rPr>
                <w:rFonts w:hint="eastAsia" w:asciiTheme="minorEastAsia" w:hAnsiTheme="minorEastAsia" w:eastAsiaTheme="minorEastAsia"/>
                <w:b/>
                <w:sz w:val="24"/>
                <w:szCs w:val="24"/>
                <w:highlight w:val="none"/>
              </w:rPr>
              <w:t>(1)所有要求投标人盖章的地方，盖投标人(法定名称)鲜章，不得以其他印章代替；</w:t>
            </w:r>
          </w:p>
          <w:p>
            <w:pPr>
              <w:topLinePunct/>
              <w:autoSpaceDE w:val="0"/>
              <w:autoSpaceDN w:val="0"/>
              <w:adjustRightInd w:val="0"/>
              <w:spacing w:line="360" w:lineRule="exact"/>
              <w:rPr>
                <w:rFonts w:asciiTheme="minorEastAsia" w:hAnsiTheme="minorEastAsia" w:eastAsiaTheme="minorEastAsia"/>
                <w:b/>
                <w:sz w:val="24"/>
                <w:szCs w:val="24"/>
                <w:highlight w:val="none"/>
              </w:rPr>
            </w:pPr>
            <w:r>
              <w:rPr>
                <w:rFonts w:hint="eastAsia" w:asciiTheme="minorEastAsia" w:hAnsiTheme="minorEastAsia" w:eastAsiaTheme="minorEastAsia"/>
                <w:b/>
                <w:sz w:val="24"/>
                <w:szCs w:val="24"/>
                <w:highlight w:val="none"/>
              </w:rPr>
              <w:t>（2）具体要求详见招标文件第三章“投标文件格式”。</w:t>
            </w:r>
          </w:p>
          <w:p>
            <w:pPr>
              <w:topLinePunct/>
              <w:autoSpaceDE w:val="0"/>
              <w:autoSpaceDN w:val="0"/>
              <w:adjustRightInd w:val="0"/>
              <w:spacing w:line="360" w:lineRule="exact"/>
              <w:rPr>
                <w:rFonts w:asciiTheme="minorEastAsia" w:hAnsiTheme="minorEastAsia" w:eastAsiaTheme="minorEastAsia"/>
                <w:b/>
                <w:sz w:val="24"/>
                <w:szCs w:val="24"/>
                <w:highlight w:val="none"/>
              </w:rPr>
            </w:pPr>
            <w:r>
              <w:rPr>
                <w:rFonts w:hint="eastAsia" w:asciiTheme="minorEastAsia" w:hAnsiTheme="minorEastAsia" w:eastAsiaTheme="minorEastAsia"/>
                <w:b/>
                <w:sz w:val="24"/>
                <w:szCs w:val="24"/>
                <w:highlight w:val="none"/>
              </w:rPr>
              <w:t>（3）本投标文件中所述的负责人指不具备法定代表人的分公司、其他组织、个体工商户等其他组织的负责人、经营者等，与营业执照或组织机构代码证等有效证件上一致。</w:t>
            </w:r>
          </w:p>
          <w:p>
            <w:pPr>
              <w:topLinePunct/>
              <w:autoSpaceDE w:val="0"/>
              <w:autoSpaceDN w:val="0"/>
              <w:adjustRightInd w:val="0"/>
              <w:spacing w:line="360" w:lineRule="exact"/>
              <w:rPr>
                <w:rFonts w:asciiTheme="minorEastAsia" w:hAnsiTheme="minorEastAsia" w:eastAsiaTheme="minorEastAsia"/>
                <w:b/>
                <w:sz w:val="24"/>
                <w:szCs w:val="24"/>
                <w:highlight w:val="none"/>
              </w:rPr>
            </w:pPr>
            <w:r>
              <w:rPr>
                <w:rFonts w:hint="eastAsia" w:asciiTheme="minorEastAsia" w:hAnsiTheme="minorEastAsia" w:eastAsiaTheme="minorEastAsia"/>
                <w:b/>
                <w:sz w:val="24"/>
                <w:szCs w:val="24"/>
                <w:highlight w:val="none"/>
              </w:rPr>
              <w:t>（4）自然人参与投标的签署自然人名字。</w:t>
            </w:r>
          </w:p>
          <w:p>
            <w:pPr>
              <w:topLinePunct/>
              <w:autoSpaceDE w:val="0"/>
              <w:autoSpaceDN w:val="0"/>
              <w:adjustRightInd w:val="0"/>
              <w:spacing w:line="360" w:lineRule="exact"/>
              <w:rPr>
                <w:rFonts w:asciiTheme="minorEastAsia" w:hAnsiTheme="minorEastAsia" w:eastAsiaTheme="minorEastAsia"/>
                <w:color w:val="FF0000"/>
                <w:sz w:val="24"/>
                <w:szCs w:val="24"/>
                <w:highlight w:val="none"/>
              </w:rPr>
            </w:pPr>
            <w:r>
              <w:rPr>
                <w:rFonts w:hint="eastAsia" w:asciiTheme="minorEastAsia" w:hAnsiTheme="minorEastAsia" w:eastAsiaTheme="minorEastAsia"/>
                <w:b/>
                <w:sz w:val="24"/>
                <w:szCs w:val="24"/>
                <w:highlight w:val="none"/>
              </w:rPr>
              <w:t>（5）联合体投标的，投标文件由牵头方签署（除联合体协议外）。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7" w:type="dxa"/>
            <w:shd w:val="clear" w:color="auto" w:fill="auto"/>
            <w:vAlign w:val="center"/>
          </w:tcPr>
          <w:p>
            <w:pPr>
              <w:pStyle w:val="34"/>
              <w:topLinePunct/>
              <w:spacing w:line="360" w:lineRule="exact"/>
              <w:ind w:right="230"/>
              <w:jc w:val="center"/>
              <w:rPr>
                <w:rFonts w:hint="default" w:cs="Courier New" w:asciiTheme="minorEastAsia" w:hAnsiTheme="minorEastAsia" w:eastAsiaTheme="minorEastAsia"/>
                <w:color w:val="000000"/>
                <w:highlight w:val="none"/>
                <w:lang w:val="en-US" w:eastAsia="zh-CN"/>
              </w:rPr>
            </w:pPr>
            <w:r>
              <w:rPr>
                <w:rFonts w:hint="eastAsia" w:cs="Courier New" w:asciiTheme="minorEastAsia" w:hAnsiTheme="minorEastAsia" w:eastAsiaTheme="minorEastAsia"/>
                <w:color w:val="000000"/>
                <w:highlight w:val="none"/>
                <w:lang w:val="en-US" w:eastAsia="zh-CN"/>
              </w:rPr>
              <w:t>13</w:t>
            </w:r>
          </w:p>
        </w:tc>
        <w:tc>
          <w:tcPr>
            <w:tcW w:w="1559" w:type="dxa"/>
            <w:shd w:val="clear" w:color="auto" w:fill="auto"/>
            <w:vAlign w:val="center"/>
          </w:tcPr>
          <w:p>
            <w:pPr>
              <w:pStyle w:val="34"/>
              <w:topLinePunct/>
              <w:spacing w:line="360" w:lineRule="exact"/>
              <w:ind w:left="-84" w:leftChars="-40" w:right="-84" w:rightChars="-40"/>
              <w:jc w:val="center"/>
              <w:rPr>
                <w:rFonts w:asciiTheme="minorEastAsia" w:hAnsiTheme="minorEastAsia" w:eastAsiaTheme="minorEastAsia"/>
                <w:color w:val="000000"/>
                <w:highlight w:val="none"/>
                <w:lang w:val="zh-CN"/>
              </w:rPr>
            </w:pPr>
            <w:r>
              <w:rPr>
                <w:rFonts w:hint="eastAsia" w:asciiTheme="minorEastAsia" w:hAnsiTheme="minorEastAsia" w:eastAsiaTheme="minorEastAsia"/>
                <w:bCs/>
                <w:kern w:val="21"/>
                <w:highlight w:val="none"/>
                <w:lang w:val="zh-CN"/>
              </w:rPr>
              <w:t>装订要求</w:t>
            </w:r>
          </w:p>
        </w:tc>
        <w:tc>
          <w:tcPr>
            <w:tcW w:w="6379" w:type="dxa"/>
            <w:shd w:val="clear" w:color="auto" w:fill="auto"/>
            <w:vAlign w:val="center"/>
          </w:tcPr>
          <w:p>
            <w:pPr>
              <w:topLinePunct/>
              <w:autoSpaceDE w:val="0"/>
              <w:autoSpaceDN w:val="0"/>
              <w:adjustRightInd w:val="0"/>
              <w:spacing w:line="360" w:lineRule="exact"/>
              <w:rPr>
                <w:rFonts w:asciiTheme="minorEastAsia" w:hAnsiTheme="minorEastAsia" w:eastAsiaTheme="minorEastAsia"/>
                <w:b/>
                <w:color w:val="FF0000"/>
                <w:sz w:val="24"/>
                <w:szCs w:val="24"/>
                <w:highlight w:val="none"/>
              </w:rPr>
            </w:pPr>
            <w:r>
              <w:rPr>
                <w:rFonts w:hint="eastAsia" w:asciiTheme="minorEastAsia" w:hAnsiTheme="minorEastAsia" w:eastAsiaTheme="minorEastAsia"/>
                <w:kern w:val="21"/>
                <w:sz w:val="24"/>
                <w:szCs w:val="24"/>
                <w:highlight w:val="none"/>
              </w:rPr>
              <w:t>响应文件应胶粘，逐页编码。一般情况下使用A4纸印制，图纸、效果图、设计方案、产品宣传资料等可使用其它规格纸张。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7" w:type="dxa"/>
            <w:shd w:val="clear" w:color="auto" w:fill="auto"/>
            <w:vAlign w:val="center"/>
          </w:tcPr>
          <w:p>
            <w:pPr>
              <w:pStyle w:val="34"/>
              <w:topLinePunct/>
              <w:spacing w:line="360" w:lineRule="exact"/>
              <w:ind w:right="230"/>
              <w:jc w:val="center"/>
              <w:rPr>
                <w:rFonts w:hint="default" w:cs="Courier New" w:asciiTheme="minorEastAsia" w:hAnsiTheme="minorEastAsia" w:eastAsiaTheme="minorEastAsia"/>
                <w:color w:val="000000"/>
                <w:highlight w:val="none"/>
                <w:lang w:val="en-US" w:eastAsia="zh-CN"/>
              </w:rPr>
            </w:pPr>
            <w:r>
              <w:rPr>
                <w:rFonts w:hint="eastAsia" w:cs="Courier New" w:asciiTheme="minorEastAsia" w:hAnsiTheme="minorEastAsia" w:eastAsiaTheme="minorEastAsia"/>
                <w:color w:val="000000"/>
                <w:highlight w:val="none"/>
                <w:lang w:val="en-US" w:eastAsia="zh-CN"/>
              </w:rPr>
              <w:t>14</w:t>
            </w:r>
          </w:p>
        </w:tc>
        <w:tc>
          <w:tcPr>
            <w:tcW w:w="1559" w:type="dxa"/>
            <w:shd w:val="clear" w:color="auto" w:fill="auto"/>
            <w:vAlign w:val="center"/>
          </w:tcPr>
          <w:p>
            <w:pPr>
              <w:pStyle w:val="34"/>
              <w:topLinePunct/>
              <w:spacing w:line="360" w:lineRule="exact"/>
              <w:ind w:left="-84" w:leftChars="-40" w:right="-84" w:rightChars="-40"/>
              <w:jc w:val="center"/>
              <w:rPr>
                <w:rFonts w:asciiTheme="minorEastAsia" w:hAnsiTheme="minorEastAsia" w:eastAsiaTheme="minorEastAsia"/>
                <w:bCs/>
                <w:kern w:val="21"/>
                <w:highlight w:val="none"/>
                <w:lang w:val="zh-CN"/>
              </w:rPr>
            </w:pPr>
            <w:r>
              <w:rPr>
                <w:rFonts w:hint="eastAsia" w:asciiTheme="minorEastAsia" w:hAnsiTheme="minorEastAsia" w:eastAsiaTheme="minorEastAsia"/>
                <w:bCs/>
                <w:kern w:val="21"/>
                <w:highlight w:val="none"/>
                <w:lang w:val="zh-CN"/>
              </w:rPr>
              <w:t>报价要求</w:t>
            </w:r>
          </w:p>
        </w:tc>
        <w:tc>
          <w:tcPr>
            <w:tcW w:w="6379" w:type="dxa"/>
            <w:shd w:val="clear" w:color="auto" w:fill="auto"/>
            <w:vAlign w:val="center"/>
          </w:tcPr>
          <w:p>
            <w:pPr>
              <w:topLinePunct/>
              <w:autoSpaceDE w:val="0"/>
              <w:autoSpaceDN w:val="0"/>
              <w:adjustRightInd w:val="0"/>
              <w:spacing w:line="360" w:lineRule="exact"/>
              <w:rPr>
                <w:rFonts w:asciiTheme="minorEastAsia" w:hAnsiTheme="minorEastAsia" w:eastAsiaTheme="minorEastAsia"/>
                <w:b/>
                <w:kern w:val="21"/>
                <w:sz w:val="24"/>
                <w:szCs w:val="24"/>
                <w:highlight w:val="none"/>
              </w:rPr>
            </w:pPr>
            <w:r>
              <w:rPr>
                <w:rFonts w:asciiTheme="minorEastAsia" w:hAnsiTheme="minorEastAsia" w:eastAsiaTheme="minorEastAsia"/>
                <w:b/>
                <w:sz w:val="24"/>
                <w:szCs w:val="24"/>
                <w:highlight w:val="none"/>
              </w:rPr>
              <w:t>在本次投标之前一周年内，投标人本次投标中对同一品牌同一型号相同配置的产品报价与其在中国境内其他地方的最低报价比例不得高于15%。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7" w:type="dxa"/>
            <w:shd w:val="clear" w:color="auto" w:fill="auto"/>
            <w:vAlign w:val="center"/>
          </w:tcPr>
          <w:p>
            <w:pPr>
              <w:pStyle w:val="34"/>
              <w:topLinePunct/>
              <w:spacing w:line="360" w:lineRule="exact"/>
              <w:ind w:right="230"/>
              <w:jc w:val="center"/>
              <w:rPr>
                <w:rFonts w:hint="default" w:cs="Courier New" w:asciiTheme="minorEastAsia" w:hAnsiTheme="minorEastAsia" w:eastAsiaTheme="minorEastAsia"/>
                <w:color w:val="000000"/>
                <w:highlight w:val="none"/>
                <w:lang w:val="en-US" w:eastAsia="zh-CN"/>
              </w:rPr>
            </w:pPr>
            <w:r>
              <w:rPr>
                <w:rFonts w:hint="eastAsia" w:cs="Courier New" w:asciiTheme="minorEastAsia" w:hAnsiTheme="minorEastAsia" w:eastAsiaTheme="minorEastAsia"/>
                <w:color w:val="000000"/>
                <w:highlight w:val="none"/>
                <w:lang w:val="en-US" w:eastAsia="zh-CN"/>
              </w:rPr>
              <w:t>15</w:t>
            </w:r>
          </w:p>
        </w:tc>
        <w:tc>
          <w:tcPr>
            <w:tcW w:w="1559" w:type="dxa"/>
            <w:shd w:val="clear" w:color="auto" w:fill="auto"/>
            <w:vAlign w:val="center"/>
          </w:tcPr>
          <w:p>
            <w:pPr>
              <w:pStyle w:val="34"/>
              <w:topLinePunct/>
              <w:spacing w:line="360" w:lineRule="exact"/>
              <w:ind w:left="-84" w:leftChars="-40" w:right="-84" w:rightChars="-40"/>
              <w:jc w:val="center"/>
              <w:rPr>
                <w:rFonts w:asciiTheme="minorEastAsia" w:hAnsiTheme="minorEastAsia" w:eastAsiaTheme="minorEastAsia"/>
                <w:color w:val="000000"/>
                <w:highlight w:val="none"/>
                <w:lang w:val="zh-CN"/>
              </w:rPr>
            </w:pPr>
            <w:r>
              <w:rPr>
                <w:rFonts w:hint="eastAsia" w:asciiTheme="minorEastAsia" w:hAnsiTheme="minorEastAsia" w:eastAsiaTheme="minorEastAsia"/>
                <w:b/>
                <w:kern w:val="21"/>
                <w:highlight w:val="none"/>
                <w:lang w:val="zh-CN"/>
              </w:rPr>
              <w:t>包装和密封要求</w:t>
            </w:r>
          </w:p>
        </w:tc>
        <w:tc>
          <w:tcPr>
            <w:tcW w:w="6379" w:type="dxa"/>
            <w:shd w:val="clear" w:color="auto" w:fill="auto"/>
            <w:vAlign w:val="center"/>
          </w:tcPr>
          <w:p>
            <w:pPr>
              <w:topLinePunct/>
              <w:spacing w:line="360" w:lineRule="exact"/>
              <w:rPr>
                <w:rFonts w:cs="宋体" w:asciiTheme="minorEastAsia" w:hAnsiTheme="minorEastAsia" w:eastAsiaTheme="minorEastAsia"/>
                <w:b/>
                <w:kern w:val="21"/>
                <w:sz w:val="24"/>
                <w:szCs w:val="24"/>
                <w:highlight w:val="none"/>
                <w:lang w:val="zh-CN"/>
              </w:rPr>
            </w:pPr>
            <w:r>
              <w:rPr>
                <w:rFonts w:hint="eastAsia" w:cs="宋体" w:asciiTheme="minorEastAsia" w:hAnsiTheme="minorEastAsia" w:eastAsiaTheme="minorEastAsia"/>
                <w:b/>
                <w:kern w:val="21"/>
                <w:sz w:val="24"/>
                <w:szCs w:val="24"/>
                <w:highlight w:val="none"/>
                <w:lang w:val="zh-CN"/>
              </w:rPr>
              <w:t>(1)投标文件可以密封为一袋或几袋；</w:t>
            </w:r>
          </w:p>
          <w:p>
            <w:pPr>
              <w:topLinePunct/>
              <w:autoSpaceDE w:val="0"/>
              <w:autoSpaceDN w:val="0"/>
              <w:adjustRightInd w:val="0"/>
              <w:spacing w:line="360" w:lineRule="exact"/>
              <w:rPr>
                <w:rFonts w:asciiTheme="minorEastAsia" w:hAnsiTheme="minorEastAsia" w:eastAsiaTheme="minorEastAsia"/>
                <w:b/>
                <w:color w:val="FF0000"/>
                <w:sz w:val="24"/>
                <w:szCs w:val="24"/>
                <w:highlight w:val="none"/>
              </w:rPr>
            </w:pPr>
            <w:r>
              <w:rPr>
                <w:rFonts w:hint="eastAsia" w:cs="宋体" w:asciiTheme="minorEastAsia" w:hAnsiTheme="minorEastAsia" w:eastAsiaTheme="minorEastAsia"/>
                <w:b/>
                <w:kern w:val="21"/>
                <w:sz w:val="24"/>
                <w:szCs w:val="24"/>
                <w:highlight w:val="none"/>
                <w:lang w:val="zh-CN"/>
              </w:rPr>
              <w:t>(2)密封袋按第三章中投标文件格式“密封袋格式”进行制作，密封袋投标人名称处和封口处应加盖投标人鲜章。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7" w:type="dxa"/>
            <w:shd w:val="clear" w:color="auto" w:fill="auto"/>
            <w:vAlign w:val="center"/>
          </w:tcPr>
          <w:p>
            <w:pPr>
              <w:pStyle w:val="34"/>
              <w:topLinePunct/>
              <w:spacing w:line="360" w:lineRule="exact"/>
              <w:ind w:right="230"/>
              <w:jc w:val="center"/>
              <w:rPr>
                <w:rFonts w:hint="default" w:cs="Courier New" w:asciiTheme="minorEastAsia" w:hAnsiTheme="minorEastAsia" w:eastAsiaTheme="minorEastAsia"/>
                <w:b/>
                <w:color w:val="000000"/>
                <w:highlight w:val="none"/>
                <w:lang w:val="en-US" w:eastAsia="zh-CN"/>
              </w:rPr>
            </w:pPr>
            <w:r>
              <w:rPr>
                <w:rFonts w:hint="eastAsia" w:cs="Courier New" w:asciiTheme="minorEastAsia" w:hAnsiTheme="minorEastAsia" w:eastAsiaTheme="minorEastAsia"/>
                <w:b/>
                <w:color w:val="000000"/>
                <w:highlight w:val="none"/>
                <w:lang w:val="en-US" w:eastAsia="zh-CN"/>
              </w:rPr>
              <w:t>16</w:t>
            </w:r>
          </w:p>
        </w:tc>
        <w:tc>
          <w:tcPr>
            <w:tcW w:w="1559" w:type="dxa"/>
            <w:shd w:val="clear" w:color="auto" w:fill="auto"/>
            <w:vAlign w:val="center"/>
          </w:tcPr>
          <w:p>
            <w:pPr>
              <w:pStyle w:val="34"/>
              <w:topLinePunct/>
              <w:spacing w:line="360" w:lineRule="exact"/>
              <w:ind w:left="-84" w:leftChars="-40" w:right="-84" w:rightChars="-40"/>
              <w:jc w:val="center"/>
              <w:rPr>
                <w:rFonts w:asciiTheme="minorEastAsia" w:hAnsiTheme="minorEastAsia" w:eastAsiaTheme="minorEastAsia"/>
                <w:b/>
                <w:color w:val="000000"/>
                <w:highlight w:val="none"/>
                <w:lang w:val="zh-CN"/>
              </w:rPr>
            </w:pPr>
            <w:r>
              <w:rPr>
                <w:rFonts w:hint="eastAsia" w:asciiTheme="minorEastAsia" w:hAnsiTheme="minorEastAsia" w:eastAsiaTheme="minorEastAsia"/>
                <w:b/>
                <w:color w:val="000000"/>
                <w:highlight w:val="none"/>
                <w:lang w:val="zh-CN"/>
              </w:rPr>
              <w:t>开标时递交</w:t>
            </w:r>
          </w:p>
          <w:p>
            <w:pPr>
              <w:pStyle w:val="34"/>
              <w:topLinePunct/>
              <w:spacing w:line="360" w:lineRule="exact"/>
              <w:ind w:left="-84" w:leftChars="-40" w:right="-84" w:rightChars="-40"/>
              <w:jc w:val="center"/>
              <w:rPr>
                <w:rFonts w:asciiTheme="minorEastAsia" w:hAnsiTheme="minorEastAsia" w:eastAsiaTheme="minorEastAsia"/>
                <w:b/>
                <w:color w:val="000000"/>
                <w:highlight w:val="none"/>
                <w:lang w:val="zh-CN"/>
              </w:rPr>
            </w:pPr>
            <w:r>
              <w:rPr>
                <w:rFonts w:hint="eastAsia" w:asciiTheme="minorEastAsia" w:hAnsiTheme="minorEastAsia" w:eastAsiaTheme="minorEastAsia"/>
                <w:b/>
                <w:color w:val="000000"/>
                <w:highlight w:val="none"/>
                <w:lang w:val="zh-CN"/>
              </w:rPr>
              <w:t>资料</w:t>
            </w:r>
          </w:p>
        </w:tc>
        <w:tc>
          <w:tcPr>
            <w:tcW w:w="6379" w:type="dxa"/>
            <w:shd w:val="clear" w:color="auto" w:fill="auto"/>
            <w:vAlign w:val="center"/>
          </w:tcPr>
          <w:p>
            <w:pPr>
              <w:topLinePunct/>
              <w:spacing w:line="360" w:lineRule="exact"/>
              <w:rPr>
                <w:rFonts w:cs="宋体" w:asciiTheme="minorEastAsia" w:hAnsiTheme="minorEastAsia" w:eastAsiaTheme="minorEastAsia"/>
                <w:b/>
                <w:kern w:val="21"/>
                <w:sz w:val="24"/>
                <w:szCs w:val="24"/>
                <w:highlight w:val="none"/>
                <w:lang w:val="zh-CN"/>
              </w:rPr>
            </w:pPr>
            <w:r>
              <w:rPr>
                <w:rFonts w:hint="eastAsia" w:cs="宋体" w:asciiTheme="minorEastAsia" w:hAnsiTheme="minorEastAsia" w:eastAsiaTheme="minorEastAsia"/>
                <w:b/>
                <w:kern w:val="21"/>
                <w:sz w:val="24"/>
                <w:szCs w:val="24"/>
                <w:highlight w:val="none"/>
                <w:lang w:val="zh-CN"/>
              </w:rPr>
              <w:t>(1)投标文件正本1份、副本</w:t>
            </w:r>
            <w:r>
              <w:rPr>
                <w:rFonts w:hint="eastAsia" w:cs="宋体" w:asciiTheme="minorEastAsia" w:hAnsiTheme="minorEastAsia" w:eastAsiaTheme="minorEastAsia"/>
                <w:b/>
                <w:kern w:val="21"/>
                <w:sz w:val="24"/>
                <w:szCs w:val="24"/>
                <w:highlight w:val="none"/>
                <w:u w:val="single"/>
                <w:lang w:val="en-US" w:eastAsia="zh-CN"/>
              </w:rPr>
              <w:t>2</w:t>
            </w:r>
            <w:r>
              <w:rPr>
                <w:rFonts w:hint="eastAsia" w:cs="宋体" w:asciiTheme="minorEastAsia" w:hAnsiTheme="minorEastAsia" w:eastAsiaTheme="minorEastAsia"/>
                <w:b/>
                <w:kern w:val="21"/>
                <w:sz w:val="24"/>
                <w:szCs w:val="24"/>
                <w:highlight w:val="none"/>
                <w:u w:val="single"/>
                <w:lang w:val="zh-CN"/>
              </w:rPr>
              <w:t>份</w:t>
            </w:r>
            <w:r>
              <w:rPr>
                <w:rFonts w:hint="eastAsia" w:cs="宋体" w:asciiTheme="minorEastAsia" w:hAnsiTheme="minorEastAsia" w:eastAsiaTheme="minorEastAsia"/>
                <w:b/>
                <w:kern w:val="21"/>
                <w:sz w:val="24"/>
                <w:szCs w:val="24"/>
                <w:highlight w:val="none"/>
                <w:lang w:val="zh-CN"/>
              </w:rPr>
              <w:t>(副本可采用正本的复印件)；</w:t>
            </w:r>
          </w:p>
          <w:p>
            <w:pPr>
              <w:topLinePunct/>
              <w:autoSpaceDE w:val="0"/>
              <w:autoSpaceDN w:val="0"/>
              <w:adjustRightInd w:val="0"/>
              <w:spacing w:line="360" w:lineRule="exact"/>
              <w:rPr>
                <w:rFonts w:cs="宋体" w:asciiTheme="minorEastAsia" w:hAnsiTheme="minorEastAsia" w:eastAsiaTheme="minorEastAsia"/>
                <w:b/>
                <w:kern w:val="21"/>
                <w:sz w:val="24"/>
                <w:szCs w:val="24"/>
                <w:highlight w:val="none"/>
                <w:lang w:val="zh-CN"/>
              </w:rPr>
            </w:pPr>
            <w:r>
              <w:rPr>
                <w:rFonts w:hint="eastAsia" w:cs="宋体" w:asciiTheme="minorEastAsia" w:hAnsiTheme="minorEastAsia" w:eastAsiaTheme="minorEastAsia"/>
                <w:b/>
                <w:kern w:val="21"/>
                <w:sz w:val="24"/>
                <w:szCs w:val="24"/>
                <w:highlight w:val="none"/>
                <w:lang w:val="zh-CN"/>
              </w:rPr>
              <w:t>(2)投标文件应按本表第</w:t>
            </w:r>
            <w:r>
              <w:rPr>
                <w:rFonts w:hint="eastAsia" w:cs="宋体" w:asciiTheme="minorEastAsia" w:hAnsiTheme="minorEastAsia" w:eastAsiaTheme="minorEastAsia"/>
                <w:b/>
                <w:kern w:val="21"/>
                <w:sz w:val="24"/>
                <w:szCs w:val="24"/>
                <w:highlight w:val="none"/>
                <w:lang w:val="en-US" w:eastAsia="zh-CN"/>
              </w:rPr>
              <w:t>15</w:t>
            </w:r>
            <w:r>
              <w:rPr>
                <w:rFonts w:hint="eastAsia" w:cs="宋体" w:asciiTheme="minorEastAsia" w:hAnsiTheme="minorEastAsia" w:eastAsiaTheme="minorEastAsia"/>
                <w:b/>
                <w:kern w:val="21"/>
                <w:sz w:val="24"/>
                <w:szCs w:val="24"/>
                <w:highlight w:val="none"/>
                <w:lang w:val="zh-CN"/>
              </w:rPr>
              <w:t>条“包装和密封要求”进行密封。</w:t>
            </w:r>
          </w:p>
          <w:p>
            <w:pPr>
              <w:topLinePunct/>
              <w:autoSpaceDE w:val="0"/>
              <w:autoSpaceDN w:val="0"/>
              <w:adjustRightInd w:val="0"/>
              <w:spacing w:line="360" w:lineRule="exact"/>
              <w:rPr>
                <w:rFonts w:cs="宋体" w:asciiTheme="minorEastAsia" w:hAnsiTheme="minorEastAsia" w:eastAsiaTheme="minorEastAsia"/>
                <w:b/>
                <w:kern w:val="21"/>
                <w:sz w:val="24"/>
                <w:szCs w:val="24"/>
                <w:highlight w:val="none"/>
                <w:lang w:val="zh-CN"/>
              </w:rPr>
            </w:pPr>
            <w:r>
              <w:rPr>
                <w:rFonts w:hint="eastAsia" w:cs="宋体" w:asciiTheme="minorEastAsia" w:hAnsiTheme="minorEastAsia" w:eastAsiaTheme="minorEastAsia"/>
                <w:b/>
                <w:kern w:val="21"/>
                <w:sz w:val="24"/>
                <w:szCs w:val="24"/>
                <w:highlight w:val="none"/>
                <w:lang w:val="zh-CN"/>
              </w:rPr>
              <w:t>(3)投标人递交投标文件、参加开标会人员必须是投标人的法定代表人（负责人）或被授权人；</w:t>
            </w:r>
          </w:p>
          <w:p>
            <w:pPr>
              <w:topLinePunct/>
              <w:autoSpaceDE w:val="0"/>
              <w:autoSpaceDN w:val="0"/>
              <w:adjustRightInd w:val="0"/>
              <w:spacing w:line="360" w:lineRule="exact"/>
              <w:rPr>
                <w:rFonts w:cs="宋体" w:asciiTheme="minorEastAsia" w:hAnsiTheme="minorEastAsia" w:eastAsiaTheme="minorEastAsia"/>
                <w:b/>
                <w:kern w:val="21"/>
                <w:sz w:val="24"/>
                <w:szCs w:val="24"/>
                <w:highlight w:val="none"/>
                <w:lang w:val="zh-CN"/>
              </w:rPr>
            </w:pPr>
            <w:r>
              <w:rPr>
                <w:rFonts w:hint="eastAsia" w:cs="宋体" w:asciiTheme="minorEastAsia" w:hAnsiTheme="minorEastAsia" w:eastAsiaTheme="minorEastAsia"/>
                <w:b/>
                <w:kern w:val="21"/>
                <w:sz w:val="24"/>
                <w:szCs w:val="24"/>
                <w:highlight w:val="none"/>
                <w:lang w:val="zh-CN"/>
              </w:rPr>
              <w:t>（</w:t>
            </w:r>
            <w:r>
              <w:rPr>
                <w:rFonts w:cs="宋体" w:asciiTheme="minorEastAsia" w:hAnsiTheme="minorEastAsia" w:eastAsiaTheme="minorEastAsia"/>
                <w:b/>
                <w:kern w:val="21"/>
                <w:sz w:val="24"/>
                <w:szCs w:val="24"/>
                <w:highlight w:val="none"/>
                <w:lang w:val="zh-CN"/>
              </w:rPr>
              <w:t>4</w:t>
            </w:r>
            <w:r>
              <w:rPr>
                <w:rFonts w:hint="eastAsia" w:cs="宋体" w:asciiTheme="minorEastAsia" w:hAnsiTheme="minorEastAsia" w:eastAsiaTheme="minorEastAsia"/>
                <w:b/>
                <w:kern w:val="21"/>
                <w:sz w:val="24"/>
                <w:szCs w:val="24"/>
                <w:highlight w:val="none"/>
                <w:lang w:val="zh-CN"/>
              </w:rPr>
              <w:t>）逾期送达或者未密封的投标文件，不予接收；</w:t>
            </w:r>
          </w:p>
          <w:p>
            <w:pPr>
              <w:topLinePunct/>
              <w:autoSpaceDE w:val="0"/>
              <w:autoSpaceDN w:val="0"/>
              <w:adjustRightInd w:val="0"/>
              <w:spacing w:line="360" w:lineRule="exact"/>
              <w:rPr>
                <w:rFonts w:asciiTheme="minorEastAsia" w:hAnsiTheme="minorEastAsia" w:eastAsiaTheme="minorEastAsia"/>
                <w:b/>
                <w:color w:val="FF0000"/>
                <w:sz w:val="24"/>
                <w:szCs w:val="24"/>
                <w:highlight w:val="none"/>
              </w:rPr>
            </w:pPr>
            <w:r>
              <w:rPr>
                <w:rFonts w:hint="eastAsia" w:cs="宋体" w:asciiTheme="minorEastAsia" w:hAnsiTheme="minorEastAsia" w:eastAsiaTheme="minorEastAsia"/>
                <w:b/>
                <w:kern w:val="21"/>
                <w:sz w:val="24"/>
                <w:szCs w:val="24"/>
                <w:highlight w:val="none"/>
                <w:lang w:val="zh-CN"/>
              </w:rPr>
              <w:t>（5）本项目不接受</w:t>
            </w:r>
            <w:r>
              <w:rPr>
                <w:rFonts w:cs="宋体" w:asciiTheme="minorEastAsia" w:hAnsiTheme="minorEastAsia" w:eastAsiaTheme="minorEastAsia"/>
                <w:b/>
                <w:kern w:val="21"/>
                <w:sz w:val="24"/>
                <w:szCs w:val="24"/>
                <w:highlight w:val="none"/>
                <w:lang w:val="zh-CN"/>
              </w:rPr>
              <w:t>邮寄的投标文件</w:t>
            </w:r>
            <w:r>
              <w:rPr>
                <w:rFonts w:hint="eastAsia" w:cs="宋体" w:asciiTheme="minorEastAsia" w:hAnsiTheme="minorEastAsia" w:eastAsiaTheme="minorEastAsia"/>
                <w:b/>
                <w:kern w:val="21"/>
                <w:sz w:val="24"/>
                <w:szCs w:val="24"/>
                <w:highlight w:val="none"/>
                <w:lang w:val="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7" w:type="dxa"/>
            <w:shd w:val="clear" w:color="auto" w:fill="auto"/>
            <w:vAlign w:val="center"/>
          </w:tcPr>
          <w:p>
            <w:pPr>
              <w:topLinePunct/>
              <w:spacing w:line="360" w:lineRule="exact"/>
              <w:jc w:val="center"/>
              <w:rPr>
                <w:rFonts w:hint="default" w:asciiTheme="minorEastAsia" w:hAnsiTheme="minorEastAsia" w:eastAsiaTheme="minorEastAsia"/>
                <w:b/>
                <w:sz w:val="24"/>
                <w:szCs w:val="24"/>
                <w:highlight w:val="none"/>
                <w:lang w:val="en-US" w:eastAsia="zh-CN"/>
              </w:rPr>
            </w:pPr>
            <w:r>
              <w:rPr>
                <w:rFonts w:hint="eastAsia" w:asciiTheme="minorEastAsia" w:hAnsiTheme="minorEastAsia" w:eastAsiaTheme="minorEastAsia"/>
                <w:b/>
                <w:sz w:val="24"/>
                <w:szCs w:val="24"/>
                <w:highlight w:val="none"/>
                <w:lang w:val="en-US" w:eastAsia="zh-CN"/>
              </w:rPr>
              <w:t>17</w:t>
            </w:r>
          </w:p>
        </w:tc>
        <w:tc>
          <w:tcPr>
            <w:tcW w:w="1559" w:type="dxa"/>
            <w:shd w:val="clear" w:color="auto" w:fill="auto"/>
            <w:vAlign w:val="center"/>
          </w:tcPr>
          <w:p>
            <w:pPr>
              <w:topLinePunct/>
              <w:spacing w:line="360" w:lineRule="exact"/>
              <w:ind w:left="-84" w:leftChars="-40" w:right="-84" w:rightChars="-40"/>
              <w:jc w:val="center"/>
              <w:rPr>
                <w:rFonts w:asciiTheme="minorEastAsia" w:hAnsiTheme="minorEastAsia" w:eastAsiaTheme="minorEastAsia"/>
                <w:b/>
                <w:sz w:val="24"/>
                <w:szCs w:val="24"/>
                <w:highlight w:val="none"/>
              </w:rPr>
            </w:pPr>
            <w:r>
              <w:rPr>
                <w:rFonts w:hint="eastAsia" w:asciiTheme="minorEastAsia" w:hAnsiTheme="minorEastAsia" w:eastAsiaTheme="minorEastAsia"/>
                <w:b/>
                <w:sz w:val="24"/>
                <w:szCs w:val="24"/>
                <w:highlight w:val="none"/>
              </w:rPr>
              <w:t>资格审查</w:t>
            </w:r>
          </w:p>
        </w:tc>
        <w:tc>
          <w:tcPr>
            <w:tcW w:w="6379" w:type="dxa"/>
            <w:shd w:val="clear" w:color="auto" w:fill="auto"/>
            <w:vAlign w:val="center"/>
          </w:tcPr>
          <w:p>
            <w:pPr>
              <w:topLinePunct/>
              <w:spacing w:line="360" w:lineRule="exact"/>
              <w:rPr>
                <w:rFonts w:cs="宋体" w:asciiTheme="minorEastAsia" w:hAnsiTheme="minorEastAsia" w:eastAsiaTheme="minorEastAsia"/>
                <w:b/>
                <w:sz w:val="24"/>
                <w:szCs w:val="24"/>
                <w:highlight w:val="none"/>
              </w:rPr>
            </w:pPr>
            <w:r>
              <w:rPr>
                <w:rFonts w:hint="eastAsia" w:cs="宋体" w:asciiTheme="minorEastAsia" w:hAnsiTheme="minorEastAsia" w:eastAsiaTheme="minorEastAsia"/>
                <w:b/>
                <w:sz w:val="24"/>
                <w:szCs w:val="24"/>
                <w:highlight w:val="none"/>
              </w:rPr>
              <w:t>开标结束后，由</w:t>
            </w:r>
            <w:r>
              <w:rPr>
                <w:rFonts w:hint="eastAsia" w:cs="宋体" w:asciiTheme="minorEastAsia" w:hAnsiTheme="minorEastAsia" w:eastAsiaTheme="minorEastAsia"/>
                <w:b/>
                <w:color w:val="auto"/>
                <w:sz w:val="24"/>
                <w:szCs w:val="24"/>
                <w:highlight w:val="none"/>
                <w:u w:val="single"/>
              </w:rPr>
              <w:t>采购人</w:t>
            </w:r>
            <w:r>
              <w:rPr>
                <w:rFonts w:hint="eastAsia" w:cs="宋体" w:asciiTheme="minorEastAsia" w:hAnsiTheme="minorEastAsia" w:eastAsiaTheme="minorEastAsia"/>
                <w:b/>
                <w:color w:val="auto"/>
                <w:sz w:val="24"/>
                <w:szCs w:val="24"/>
                <w:highlight w:val="none"/>
                <w:u w:val="single"/>
                <w:lang w:val="en-US" w:eastAsia="zh-CN"/>
              </w:rPr>
              <w:t>或代理机构</w:t>
            </w:r>
            <w:r>
              <w:rPr>
                <w:rFonts w:hint="eastAsia" w:cs="宋体" w:asciiTheme="minorEastAsia" w:hAnsiTheme="minorEastAsia" w:eastAsiaTheme="minorEastAsia"/>
                <w:b/>
                <w:color w:val="auto"/>
                <w:sz w:val="24"/>
                <w:szCs w:val="24"/>
                <w:highlight w:val="none"/>
              </w:rPr>
              <w:t>依</w:t>
            </w:r>
            <w:r>
              <w:rPr>
                <w:rFonts w:hint="eastAsia" w:cs="宋体" w:asciiTheme="minorEastAsia" w:hAnsiTheme="minorEastAsia" w:eastAsiaTheme="minorEastAsia"/>
                <w:b/>
                <w:sz w:val="24"/>
                <w:szCs w:val="24"/>
                <w:highlight w:val="none"/>
              </w:rPr>
              <w:t>据本招标文件的要求对投标人资格进行审查，合格的投标人不足3家的，不进入评标环节。</w:t>
            </w:r>
          </w:p>
          <w:p>
            <w:pPr>
              <w:topLinePunct/>
              <w:spacing w:line="360" w:lineRule="exact"/>
              <w:rPr>
                <w:rFonts w:cs="宋体" w:asciiTheme="minorEastAsia" w:hAnsiTheme="minorEastAsia" w:eastAsiaTheme="minorEastAsia"/>
                <w:b/>
                <w:sz w:val="24"/>
                <w:szCs w:val="24"/>
                <w:highlight w:val="none"/>
              </w:rPr>
            </w:pPr>
            <w:r>
              <w:rPr>
                <w:rFonts w:hint="eastAsia" w:cs="宋体" w:asciiTheme="minorEastAsia" w:hAnsiTheme="minorEastAsia" w:eastAsiaTheme="minorEastAsia"/>
                <w:b/>
                <w:sz w:val="24"/>
                <w:szCs w:val="24"/>
                <w:highlight w:val="none"/>
              </w:rPr>
              <w:t>资格审查内容：</w:t>
            </w:r>
          </w:p>
          <w:p>
            <w:pPr>
              <w:topLinePunct/>
              <w:spacing w:line="360" w:lineRule="exact"/>
              <w:rPr>
                <w:rFonts w:cs="宋体" w:asciiTheme="minorEastAsia" w:hAnsiTheme="minorEastAsia" w:eastAsiaTheme="minorEastAsia"/>
                <w:b/>
                <w:sz w:val="24"/>
                <w:szCs w:val="24"/>
                <w:highlight w:val="none"/>
              </w:rPr>
            </w:pPr>
            <w:r>
              <w:rPr>
                <w:rFonts w:hint="eastAsia" w:cs="宋体" w:asciiTheme="minorEastAsia" w:hAnsiTheme="minorEastAsia" w:eastAsiaTheme="minorEastAsia"/>
                <w:b/>
                <w:sz w:val="24"/>
                <w:szCs w:val="24"/>
                <w:highlight w:val="none"/>
              </w:rPr>
              <w:t>(1)投标人须知前附表第5条所列供应商须提供的资格性证明材料；</w:t>
            </w:r>
          </w:p>
          <w:p>
            <w:pPr>
              <w:topLinePunct/>
              <w:spacing w:line="360" w:lineRule="exact"/>
              <w:rPr>
                <w:rFonts w:cs="宋体" w:asciiTheme="minorEastAsia" w:hAnsiTheme="minorEastAsia" w:eastAsiaTheme="minorEastAsia"/>
                <w:b/>
                <w:sz w:val="24"/>
                <w:szCs w:val="24"/>
                <w:highlight w:val="none"/>
              </w:rPr>
            </w:pPr>
            <w:r>
              <w:rPr>
                <w:rFonts w:hint="eastAsia" w:cs="宋体" w:asciiTheme="minorEastAsia" w:hAnsiTheme="minorEastAsia" w:eastAsiaTheme="minorEastAsia"/>
                <w:b/>
                <w:sz w:val="24"/>
                <w:szCs w:val="24"/>
                <w:highlight w:val="none"/>
              </w:rPr>
              <w:t>（2）是否属于禁止参加投标的供应商。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7" w:type="dxa"/>
            <w:shd w:val="clear" w:color="auto" w:fill="auto"/>
            <w:vAlign w:val="center"/>
          </w:tcPr>
          <w:p>
            <w:pPr>
              <w:pStyle w:val="34"/>
              <w:topLinePunct/>
              <w:spacing w:line="360" w:lineRule="exact"/>
              <w:ind w:right="230"/>
              <w:jc w:val="center"/>
              <w:rPr>
                <w:rFonts w:hint="default" w:cs="Courier New" w:asciiTheme="minorEastAsia" w:hAnsiTheme="minorEastAsia" w:eastAsiaTheme="minorEastAsia"/>
                <w:highlight w:val="none"/>
                <w:lang w:val="en-US" w:eastAsia="zh-CN"/>
              </w:rPr>
            </w:pPr>
            <w:r>
              <w:rPr>
                <w:rFonts w:hint="eastAsia" w:cs="Courier New" w:asciiTheme="minorEastAsia" w:hAnsiTheme="minorEastAsia" w:eastAsiaTheme="minorEastAsia"/>
                <w:highlight w:val="none"/>
                <w:lang w:val="en-US" w:eastAsia="zh-CN"/>
              </w:rPr>
              <w:t>18</w:t>
            </w:r>
          </w:p>
        </w:tc>
        <w:tc>
          <w:tcPr>
            <w:tcW w:w="1559" w:type="dxa"/>
            <w:shd w:val="clear" w:color="auto" w:fill="auto"/>
            <w:vAlign w:val="center"/>
          </w:tcPr>
          <w:p>
            <w:pPr>
              <w:topLinePunct/>
              <w:autoSpaceDE w:val="0"/>
              <w:autoSpaceDN w:val="0"/>
              <w:adjustRightInd w:val="0"/>
              <w:spacing w:line="360" w:lineRule="exact"/>
              <w:ind w:left="-84" w:leftChars="-40" w:right="-84" w:rightChars="-40"/>
              <w:jc w:val="center"/>
              <w:rPr>
                <w:rFonts w:asciiTheme="minorEastAsia" w:hAnsiTheme="minorEastAsia" w:eastAsiaTheme="minorEastAsia"/>
                <w:sz w:val="24"/>
                <w:szCs w:val="24"/>
                <w:highlight w:val="none"/>
                <w:lang w:val="zh-CN"/>
              </w:rPr>
            </w:pPr>
            <w:r>
              <w:rPr>
                <w:rFonts w:hint="eastAsia" w:cs="宋体" w:asciiTheme="minorEastAsia" w:hAnsiTheme="minorEastAsia" w:eastAsiaTheme="minorEastAsia"/>
                <w:sz w:val="24"/>
                <w:szCs w:val="24"/>
                <w:highlight w:val="none"/>
                <w:lang w:val="zh-CN"/>
              </w:rPr>
              <w:t>废标和无效投标情形</w:t>
            </w:r>
          </w:p>
        </w:tc>
        <w:tc>
          <w:tcPr>
            <w:tcW w:w="6379" w:type="dxa"/>
            <w:shd w:val="clear" w:color="auto" w:fill="auto"/>
            <w:vAlign w:val="center"/>
          </w:tcPr>
          <w:p>
            <w:pPr>
              <w:topLinePunct/>
              <w:spacing w:line="360" w:lineRule="exact"/>
              <w:ind w:firstLine="241" w:firstLineChars="100"/>
              <w:rPr>
                <w:rFonts w:cs="宋体" w:asciiTheme="minorEastAsia" w:hAnsiTheme="minorEastAsia" w:eastAsiaTheme="minorEastAsia"/>
                <w:b/>
                <w:kern w:val="21"/>
                <w:sz w:val="24"/>
                <w:szCs w:val="24"/>
                <w:highlight w:val="none"/>
                <w:lang w:val="zh-CN"/>
              </w:rPr>
            </w:pPr>
            <w:r>
              <w:rPr>
                <w:rFonts w:hint="eastAsia" w:cs="宋体" w:asciiTheme="minorEastAsia" w:hAnsiTheme="minorEastAsia" w:eastAsiaTheme="minorEastAsia"/>
                <w:b/>
                <w:kern w:val="21"/>
                <w:sz w:val="24"/>
                <w:szCs w:val="24"/>
                <w:highlight w:val="none"/>
                <w:lang w:val="zh-CN"/>
              </w:rPr>
              <w:t xml:space="preserve"> (1)开标过程中的废标情形</w:t>
            </w:r>
          </w:p>
          <w:p>
            <w:pPr>
              <w:topLinePunct/>
              <w:spacing w:line="360" w:lineRule="exact"/>
              <w:ind w:firstLine="241" w:firstLineChars="100"/>
              <w:rPr>
                <w:rFonts w:cs="宋体" w:asciiTheme="minorEastAsia" w:hAnsiTheme="minorEastAsia" w:eastAsiaTheme="minorEastAsia"/>
                <w:b/>
                <w:kern w:val="21"/>
                <w:sz w:val="24"/>
                <w:szCs w:val="24"/>
                <w:highlight w:val="none"/>
                <w:lang w:val="zh-CN"/>
              </w:rPr>
            </w:pPr>
            <w:r>
              <w:rPr>
                <w:rFonts w:hint="eastAsia" w:cs="宋体" w:asciiTheme="minorEastAsia" w:hAnsiTheme="minorEastAsia" w:eastAsiaTheme="minorEastAsia"/>
                <w:b/>
                <w:kern w:val="21"/>
                <w:sz w:val="24"/>
                <w:szCs w:val="24"/>
                <w:highlight w:val="none"/>
                <w:lang w:val="zh-CN"/>
              </w:rPr>
              <w:t>a.在投标文件递交截止时，投标人不足三家的；</w:t>
            </w:r>
          </w:p>
          <w:p>
            <w:pPr>
              <w:topLinePunct/>
              <w:spacing w:line="360" w:lineRule="exact"/>
              <w:ind w:firstLine="241" w:firstLineChars="100"/>
              <w:rPr>
                <w:rFonts w:cs="宋体" w:asciiTheme="minorEastAsia" w:hAnsiTheme="minorEastAsia" w:eastAsiaTheme="minorEastAsia"/>
                <w:b/>
                <w:kern w:val="21"/>
                <w:sz w:val="24"/>
                <w:szCs w:val="24"/>
                <w:highlight w:val="none"/>
                <w:lang w:val="zh-CN"/>
              </w:rPr>
            </w:pPr>
            <w:r>
              <w:rPr>
                <w:rFonts w:hint="eastAsia" w:cs="宋体" w:asciiTheme="minorEastAsia" w:hAnsiTheme="minorEastAsia" w:eastAsiaTheme="minorEastAsia"/>
                <w:b/>
                <w:kern w:val="21"/>
                <w:sz w:val="24"/>
                <w:szCs w:val="24"/>
                <w:highlight w:val="none"/>
                <w:lang w:val="zh-CN"/>
              </w:rPr>
              <w:t>b.出现影响采购公正的违法、违规行为的；</w:t>
            </w:r>
          </w:p>
          <w:p>
            <w:pPr>
              <w:topLinePunct/>
              <w:spacing w:line="360" w:lineRule="exact"/>
              <w:ind w:firstLine="241" w:firstLineChars="100"/>
              <w:rPr>
                <w:rFonts w:cs="宋体" w:asciiTheme="minorEastAsia" w:hAnsiTheme="minorEastAsia" w:eastAsiaTheme="minorEastAsia"/>
                <w:b/>
                <w:kern w:val="21"/>
                <w:sz w:val="24"/>
                <w:szCs w:val="24"/>
                <w:highlight w:val="none"/>
                <w:lang w:val="zh-CN"/>
              </w:rPr>
            </w:pPr>
            <w:r>
              <w:rPr>
                <w:rFonts w:hint="eastAsia" w:cs="宋体" w:asciiTheme="minorEastAsia" w:hAnsiTheme="minorEastAsia" w:eastAsiaTheme="minorEastAsia"/>
                <w:b/>
                <w:kern w:val="21"/>
                <w:sz w:val="24"/>
                <w:szCs w:val="24"/>
                <w:highlight w:val="none"/>
                <w:lang w:val="zh-CN"/>
              </w:rPr>
              <w:t>c.因重大变故，采购任务取消的。</w:t>
            </w:r>
          </w:p>
          <w:p>
            <w:pPr>
              <w:topLinePunct/>
              <w:spacing w:line="360" w:lineRule="exact"/>
              <w:ind w:firstLine="241" w:firstLineChars="100"/>
              <w:rPr>
                <w:rFonts w:cs="宋体" w:asciiTheme="minorEastAsia" w:hAnsiTheme="minorEastAsia" w:eastAsiaTheme="minorEastAsia"/>
                <w:b/>
                <w:kern w:val="21"/>
                <w:sz w:val="24"/>
                <w:szCs w:val="24"/>
                <w:highlight w:val="none"/>
                <w:lang w:val="zh-CN"/>
              </w:rPr>
            </w:pPr>
            <w:r>
              <w:rPr>
                <w:rFonts w:hint="eastAsia" w:cs="宋体" w:asciiTheme="minorEastAsia" w:hAnsiTheme="minorEastAsia" w:eastAsiaTheme="minorEastAsia"/>
                <w:b/>
                <w:kern w:val="21"/>
                <w:sz w:val="24"/>
                <w:szCs w:val="24"/>
                <w:highlight w:val="none"/>
                <w:lang w:val="zh-CN"/>
              </w:rPr>
              <w:t>(2)开标过程中的无效投标情形</w:t>
            </w:r>
          </w:p>
          <w:p>
            <w:pPr>
              <w:topLinePunct/>
              <w:spacing w:line="360" w:lineRule="exact"/>
              <w:ind w:firstLine="241" w:firstLineChars="100"/>
              <w:rPr>
                <w:rFonts w:cs="宋体" w:asciiTheme="minorEastAsia" w:hAnsiTheme="minorEastAsia" w:eastAsiaTheme="minorEastAsia"/>
                <w:b/>
                <w:kern w:val="21"/>
                <w:sz w:val="24"/>
                <w:szCs w:val="24"/>
                <w:highlight w:val="none"/>
                <w:lang w:val="zh-CN"/>
              </w:rPr>
            </w:pPr>
            <w:r>
              <w:rPr>
                <w:rFonts w:hint="eastAsia" w:cs="宋体" w:asciiTheme="minorEastAsia" w:hAnsiTheme="minorEastAsia" w:eastAsiaTheme="minorEastAsia"/>
                <w:b/>
                <w:kern w:val="21"/>
                <w:sz w:val="24"/>
                <w:szCs w:val="24"/>
                <w:highlight w:val="none"/>
                <w:lang w:val="zh-CN"/>
              </w:rPr>
              <w:t>a.投标文件超过规定的时间送达的。</w:t>
            </w:r>
          </w:p>
          <w:p>
            <w:pPr>
              <w:topLinePunct/>
              <w:spacing w:line="360" w:lineRule="exact"/>
              <w:ind w:firstLine="241" w:firstLineChars="100"/>
              <w:rPr>
                <w:rFonts w:asciiTheme="minorEastAsia" w:hAnsiTheme="minorEastAsia" w:eastAsiaTheme="minorEastAsia"/>
                <w:sz w:val="24"/>
                <w:szCs w:val="24"/>
                <w:highlight w:val="none"/>
                <w:lang w:val="zh-CN"/>
              </w:rPr>
            </w:pPr>
            <w:r>
              <w:rPr>
                <w:rFonts w:hint="eastAsia" w:cs="宋体" w:asciiTheme="minorEastAsia" w:hAnsiTheme="minorEastAsia" w:eastAsiaTheme="minorEastAsia"/>
                <w:b/>
                <w:kern w:val="21"/>
                <w:sz w:val="24"/>
                <w:szCs w:val="24"/>
                <w:highlight w:val="none"/>
                <w:lang w:val="zh-CN"/>
              </w:rPr>
              <w:t>(3)评标过程中的废标和无效投标的情形，由评标委员会判定，详见第五章评标办法。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7" w:type="dxa"/>
            <w:shd w:val="clear" w:color="auto" w:fill="auto"/>
            <w:vAlign w:val="center"/>
          </w:tcPr>
          <w:p>
            <w:pPr>
              <w:pStyle w:val="34"/>
              <w:topLinePunct/>
              <w:spacing w:line="360" w:lineRule="exact"/>
              <w:ind w:right="230"/>
              <w:jc w:val="center"/>
              <w:rPr>
                <w:rFonts w:hint="default" w:cs="Courier New" w:asciiTheme="minorEastAsia" w:hAnsiTheme="minorEastAsia" w:eastAsiaTheme="minorEastAsia"/>
                <w:highlight w:val="none"/>
                <w:lang w:val="en-US" w:eastAsia="zh-CN"/>
              </w:rPr>
            </w:pPr>
            <w:r>
              <w:rPr>
                <w:rFonts w:hint="eastAsia" w:cs="Courier New" w:asciiTheme="minorEastAsia" w:hAnsiTheme="minorEastAsia" w:eastAsiaTheme="minorEastAsia"/>
                <w:highlight w:val="none"/>
                <w:lang w:val="en-US" w:eastAsia="zh-CN"/>
              </w:rPr>
              <w:t>19</w:t>
            </w:r>
          </w:p>
        </w:tc>
        <w:tc>
          <w:tcPr>
            <w:tcW w:w="1559" w:type="dxa"/>
            <w:shd w:val="clear" w:color="auto" w:fill="auto"/>
            <w:vAlign w:val="center"/>
          </w:tcPr>
          <w:p>
            <w:pPr>
              <w:pStyle w:val="34"/>
              <w:topLinePunct/>
              <w:spacing w:line="360" w:lineRule="exact"/>
              <w:ind w:left="-84" w:leftChars="-40" w:right="-84" w:rightChars="-40"/>
              <w:jc w:val="center"/>
              <w:rPr>
                <w:rFonts w:asciiTheme="minorEastAsia" w:hAnsiTheme="minorEastAsia" w:eastAsiaTheme="minorEastAsia"/>
                <w:highlight w:val="none"/>
                <w:lang w:val="zh-CN"/>
              </w:rPr>
            </w:pPr>
            <w:r>
              <w:rPr>
                <w:rFonts w:hint="eastAsia" w:asciiTheme="minorEastAsia" w:hAnsiTheme="minorEastAsia" w:eastAsiaTheme="minorEastAsia"/>
                <w:highlight w:val="none"/>
                <w:lang w:val="zh-CN"/>
              </w:rPr>
              <w:t>备选方案和</w:t>
            </w:r>
          </w:p>
          <w:p>
            <w:pPr>
              <w:pStyle w:val="34"/>
              <w:topLinePunct/>
              <w:spacing w:line="360" w:lineRule="exact"/>
              <w:ind w:left="-84" w:leftChars="-40" w:right="-84" w:rightChars="-40"/>
              <w:jc w:val="center"/>
              <w:rPr>
                <w:rFonts w:asciiTheme="minorEastAsia" w:hAnsiTheme="minorEastAsia" w:eastAsiaTheme="minorEastAsia"/>
                <w:highlight w:val="none"/>
                <w:lang w:val="zh-CN"/>
              </w:rPr>
            </w:pPr>
            <w:r>
              <w:rPr>
                <w:rFonts w:hint="eastAsia" w:asciiTheme="minorEastAsia" w:hAnsiTheme="minorEastAsia" w:eastAsiaTheme="minorEastAsia"/>
                <w:highlight w:val="none"/>
                <w:lang w:val="zh-CN"/>
              </w:rPr>
              <w:t>报价</w:t>
            </w:r>
          </w:p>
        </w:tc>
        <w:tc>
          <w:tcPr>
            <w:tcW w:w="6379" w:type="dxa"/>
            <w:shd w:val="clear" w:color="auto" w:fill="auto"/>
            <w:vAlign w:val="center"/>
          </w:tcPr>
          <w:p>
            <w:pPr>
              <w:pStyle w:val="34"/>
              <w:topLinePunct/>
              <w:spacing w:line="360" w:lineRule="exact"/>
              <w:jc w:val="both"/>
              <w:rPr>
                <w:rFonts w:asciiTheme="minorEastAsia" w:hAnsiTheme="minorEastAsia" w:eastAsiaTheme="minorEastAsia"/>
                <w:highlight w:val="none"/>
                <w:lang w:val="zh-CN"/>
              </w:rPr>
            </w:pPr>
            <w:r>
              <w:rPr>
                <w:rFonts w:hint="eastAsia" w:asciiTheme="minorEastAsia" w:hAnsiTheme="minorEastAsia" w:eastAsiaTheme="minorEastAsia"/>
                <w:highlight w:val="none"/>
                <w:lang w:val="zh-CN"/>
              </w:rPr>
              <w:t>不接受备选投标方案和多个报价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7" w:type="dxa"/>
            <w:shd w:val="clear" w:color="auto" w:fill="auto"/>
            <w:vAlign w:val="center"/>
          </w:tcPr>
          <w:p>
            <w:pPr>
              <w:pStyle w:val="34"/>
              <w:topLinePunct/>
              <w:spacing w:line="360" w:lineRule="exact"/>
              <w:ind w:right="230"/>
              <w:jc w:val="center"/>
              <w:rPr>
                <w:rFonts w:hint="default" w:asciiTheme="minorEastAsia" w:hAnsiTheme="minorEastAsia" w:eastAsiaTheme="minorEastAsia"/>
                <w:highlight w:val="none"/>
                <w:lang w:val="en-US" w:eastAsia="zh-CN"/>
              </w:rPr>
            </w:pPr>
            <w:r>
              <w:rPr>
                <w:rFonts w:hint="eastAsia" w:asciiTheme="minorEastAsia" w:hAnsiTheme="minorEastAsia" w:eastAsiaTheme="minorEastAsia"/>
                <w:highlight w:val="none"/>
                <w:lang w:val="en-US" w:eastAsia="zh-CN"/>
              </w:rPr>
              <w:t>20</w:t>
            </w:r>
          </w:p>
        </w:tc>
        <w:tc>
          <w:tcPr>
            <w:tcW w:w="1559" w:type="dxa"/>
            <w:shd w:val="clear" w:color="auto" w:fill="auto"/>
            <w:vAlign w:val="center"/>
          </w:tcPr>
          <w:p>
            <w:pPr>
              <w:topLinePunct/>
              <w:autoSpaceDE w:val="0"/>
              <w:autoSpaceDN w:val="0"/>
              <w:adjustRightInd w:val="0"/>
              <w:spacing w:line="360" w:lineRule="exact"/>
              <w:ind w:left="-84" w:leftChars="-40" w:right="-84" w:rightChars="-40"/>
              <w:jc w:val="center"/>
              <w:rPr>
                <w:rFonts w:asciiTheme="minorEastAsia" w:hAnsiTheme="minorEastAsia" w:eastAsiaTheme="minorEastAsia"/>
                <w:sz w:val="24"/>
                <w:szCs w:val="24"/>
                <w:highlight w:val="none"/>
                <w:lang w:val="zh-CN"/>
              </w:rPr>
            </w:pPr>
            <w:r>
              <w:rPr>
                <w:rFonts w:hint="eastAsia" w:cs="宋体" w:asciiTheme="minorEastAsia" w:hAnsiTheme="minorEastAsia" w:eastAsiaTheme="minorEastAsia"/>
                <w:sz w:val="24"/>
                <w:szCs w:val="24"/>
                <w:highlight w:val="none"/>
              </w:rPr>
              <w:t>履约时间</w:t>
            </w:r>
            <w:r>
              <w:rPr>
                <w:rFonts w:hint="eastAsia" w:cs="宋体" w:asciiTheme="minorEastAsia" w:hAnsiTheme="minorEastAsia" w:eastAsiaTheme="minorEastAsia"/>
                <w:sz w:val="24"/>
                <w:szCs w:val="24"/>
                <w:highlight w:val="none"/>
                <w:lang w:val="zh-CN"/>
              </w:rPr>
              <w:t>、地点及付款方式</w:t>
            </w:r>
          </w:p>
        </w:tc>
        <w:tc>
          <w:tcPr>
            <w:tcW w:w="6379" w:type="dxa"/>
            <w:shd w:val="clear" w:color="auto" w:fill="auto"/>
            <w:vAlign w:val="center"/>
          </w:tcPr>
          <w:p>
            <w:pPr>
              <w:topLinePunct/>
              <w:spacing w:line="360" w:lineRule="exact"/>
              <w:rPr>
                <w:rFonts w:asciiTheme="minorEastAsia" w:hAnsiTheme="minorEastAsia" w:eastAsiaTheme="minorEastAsia"/>
                <w:sz w:val="24"/>
                <w:szCs w:val="24"/>
                <w:highlight w:val="none"/>
              </w:rPr>
            </w:pPr>
            <w:r>
              <w:rPr>
                <w:rFonts w:hint="eastAsia" w:cs="宋体" w:asciiTheme="minorEastAsia" w:hAnsiTheme="minorEastAsia" w:eastAsiaTheme="minorEastAsia"/>
                <w:sz w:val="24"/>
                <w:szCs w:val="24"/>
                <w:highlight w:val="none"/>
                <w:lang w:val="zh-CN"/>
              </w:rPr>
              <w:t>(1)</w:t>
            </w:r>
            <w:r>
              <w:rPr>
                <w:rFonts w:hint="eastAsia" w:asciiTheme="minorEastAsia" w:hAnsiTheme="minorEastAsia" w:eastAsiaTheme="minorEastAsia"/>
                <w:sz w:val="24"/>
                <w:szCs w:val="24"/>
                <w:highlight w:val="none"/>
              </w:rPr>
              <w:t>履约时间和地点：</w:t>
            </w:r>
          </w:p>
          <w:p>
            <w:pPr>
              <w:topLinePunct/>
              <w:spacing w:line="360" w:lineRule="exact"/>
              <w:ind w:firstLine="240" w:firstLineChars="100"/>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a.履约时间：</w:t>
            </w:r>
            <w:r>
              <w:rPr>
                <w:rFonts w:hint="eastAsia" w:ascii="宋体" w:cs="宋体"/>
                <w:color w:val="000000"/>
                <w:sz w:val="24"/>
                <w:lang w:bidi="ar-SA"/>
              </w:rPr>
              <w:t>本项目建设工期为</w:t>
            </w:r>
            <w:r>
              <w:rPr>
                <w:rFonts w:hint="eastAsia" w:ascii="宋体" w:cs="宋体"/>
                <w:color w:val="000000"/>
                <w:sz w:val="24"/>
                <w:lang w:val="en-US" w:eastAsia="zh-CN" w:bidi="ar-SA"/>
              </w:rPr>
              <w:t>12</w:t>
            </w:r>
            <w:r>
              <w:rPr>
                <w:rFonts w:hint="eastAsia" w:ascii="宋体" w:cs="宋体"/>
                <w:color w:val="000000"/>
                <w:sz w:val="24"/>
                <w:lang w:bidi="ar-SA"/>
              </w:rPr>
              <w:t>个月</w:t>
            </w:r>
            <w:r>
              <w:rPr>
                <w:rFonts w:asciiTheme="minorEastAsia" w:hAnsiTheme="minorEastAsia" w:eastAsiaTheme="minorEastAsia"/>
                <w:sz w:val="24"/>
                <w:szCs w:val="24"/>
                <w:highlight w:val="none"/>
              </w:rPr>
              <w:t>。</w:t>
            </w:r>
          </w:p>
          <w:p>
            <w:pPr>
              <w:topLinePunct/>
              <w:spacing w:line="360" w:lineRule="exact"/>
              <w:ind w:firstLine="240" w:firstLineChars="100"/>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b.履约地点：</w:t>
            </w:r>
            <w:r>
              <w:rPr>
                <w:rFonts w:hint="eastAsia" w:ascii="宋体" w:cs="宋体"/>
                <w:color w:val="000000"/>
                <w:sz w:val="24"/>
                <w:lang w:bidi="ar-SA"/>
              </w:rPr>
              <w:t>采购人指定地点</w:t>
            </w:r>
            <w:r>
              <w:rPr>
                <w:rFonts w:hint="eastAsia" w:asciiTheme="minorEastAsia" w:hAnsiTheme="minorEastAsia" w:eastAsiaTheme="minorEastAsia"/>
                <w:sz w:val="24"/>
                <w:szCs w:val="24"/>
                <w:highlight w:val="none"/>
              </w:rPr>
              <w:t>。</w:t>
            </w:r>
          </w:p>
          <w:p>
            <w:pPr>
              <w:pStyle w:val="34"/>
              <w:topLinePunct/>
              <w:spacing w:line="360" w:lineRule="exact"/>
              <w:jc w:val="both"/>
              <w:rPr>
                <w:rFonts w:asciiTheme="minorEastAsia" w:hAnsiTheme="minorEastAsia" w:eastAsiaTheme="minorEastAsia"/>
                <w:b/>
                <w:color w:val="FF0000"/>
                <w:highlight w:val="none"/>
              </w:rPr>
            </w:pPr>
            <w:r>
              <w:rPr>
                <w:rFonts w:hint="eastAsia" w:asciiTheme="minorEastAsia" w:hAnsiTheme="minorEastAsia" w:eastAsiaTheme="minorEastAsia"/>
                <w:highlight w:val="none"/>
                <w:lang w:val="zh-CN"/>
              </w:rPr>
              <w:t>(2)</w:t>
            </w:r>
            <w:r>
              <w:rPr>
                <w:rFonts w:hint="eastAsia" w:asciiTheme="minorEastAsia" w:hAnsiTheme="minorEastAsia" w:eastAsiaTheme="minorEastAsia"/>
                <w:highlight w:val="none"/>
              </w:rPr>
              <w:t>付款方式、时间、条件：</w:t>
            </w:r>
            <w:r>
              <w:rPr>
                <w:rFonts w:hint="eastAsia" w:asciiTheme="minorEastAsia" w:hAnsiTheme="minorEastAsia" w:eastAsiaTheme="minorEastAsia"/>
                <w:highlight w:val="none"/>
                <w:u w:val="single"/>
              </w:rPr>
              <w:t>合同签订生效后10个工作日内，支付合同总价的30%作为预付款；完成</w:t>
            </w:r>
            <w:r>
              <w:rPr>
                <w:rFonts w:hint="eastAsia" w:asciiTheme="minorEastAsia" w:hAnsiTheme="minorEastAsia" w:eastAsiaTheme="minorEastAsia"/>
                <w:highlight w:val="none"/>
                <w:u w:val="single"/>
                <w:lang w:val="en-US" w:eastAsia="zh-CN"/>
              </w:rPr>
              <w:t>所有</w:t>
            </w:r>
            <w:r>
              <w:rPr>
                <w:rFonts w:hint="eastAsia" w:asciiTheme="minorEastAsia" w:hAnsiTheme="minorEastAsia" w:eastAsiaTheme="minorEastAsia"/>
                <w:highlight w:val="none"/>
                <w:u w:val="single"/>
              </w:rPr>
              <w:t>工作并验收合格后10个工作日内，支付合同总价的</w:t>
            </w:r>
            <w:r>
              <w:rPr>
                <w:rFonts w:hint="eastAsia" w:asciiTheme="minorEastAsia" w:hAnsiTheme="minorEastAsia" w:eastAsiaTheme="minorEastAsia"/>
                <w:highlight w:val="none"/>
                <w:u w:val="single"/>
                <w:lang w:val="en-US" w:eastAsia="zh-CN"/>
              </w:rPr>
              <w:t>60</w:t>
            </w:r>
            <w:r>
              <w:rPr>
                <w:rFonts w:hint="eastAsia" w:asciiTheme="minorEastAsia" w:hAnsiTheme="minorEastAsia" w:eastAsiaTheme="minorEastAsia"/>
                <w:highlight w:val="none"/>
                <w:u w:val="single"/>
              </w:rPr>
              <w:t>%；剩余合同金额的10%在维保期结束后10个工作日内无息支付。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7" w:type="dxa"/>
            <w:shd w:val="clear" w:color="auto" w:fill="auto"/>
            <w:vAlign w:val="center"/>
          </w:tcPr>
          <w:p>
            <w:pPr>
              <w:topLinePunct/>
              <w:spacing w:line="360" w:lineRule="exact"/>
              <w:jc w:val="center"/>
              <w:rPr>
                <w:rFonts w:hint="default" w:cs="宋体" w:asciiTheme="minorEastAsia" w:hAnsiTheme="minorEastAsia" w:eastAsiaTheme="minorEastAsia"/>
                <w:sz w:val="24"/>
                <w:szCs w:val="24"/>
                <w:highlight w:val="none"/>
                <w:lang w:val="en-US" w:eastAsia="zh-CN"/>
              </w:rPr>
            </w:pPr>
            <w:r>
              <w:rPr>
                <w:rFonts w:hint="eastAsia" w:cs="宋体" w:asciiTheme="minorEastAsia" w:hAnsiTheme="minorEastAsia" w:eastAsiaTheme="minorEastAsia"/>
                <w:sz w:val="24"/>
                <w:szCs w:val="24"/>
                <w:highlight w:val="none"/>
                <w:lang w:val="en-US" w:eastAsia="zh-CN"/>
              </w:rPr>
              <w:t>21</w:t>
            </w:r>
          </w:p>
        </w:tc>
        <w:tc>
          <w:tcPr>
            <w:tcW w:w="1559" w:type="dxa"/>
            <w:shd w:val="clear" w:color="auto" w:fill="auto"/>
            <w:vAlign w:val="center"/>
          </w:tcPr>
          <w:p>
            <w:pPr>
              <w:topLinePunct/>
              <w:spacing w:line="360" w:lineRule="exact"/>
              <w:ind w:left="-84" w:leftChars="-40" w:right="-84" w:rightChars="-40"/>
              <w:jc w:val="center"/>
              <w:rPr>
                <w:rFonts w:cs="宋体" w:asciiTheme="minorEastAsia" w:hAnsiTheme="minorEastAsia" w:eastAsiaTheme="minorEastAsia"/>
                <w:sz w:val="24"/>
                <w:szCs w:val="24"/>
                <w:highlight w:val="none"/>
              </w:rPr>
            </w:pPr>
            <w:r>
              <w:rPr>
                <w:rFonts w:hint="eastAsia" w:cs="宋体" w:asciiTheme="minorEastAsia" w:hAnsiTheme="minorEastAsia" w:eastAsiaTheme="minorEastAsia"/>
                <w:sz w:val="24"/>
                <w:szCs w:val="24"/>
                <w:highlight w:val="none"/>
              </w:rPr>
              <w:t>采购文件咨询</w:t>
            </w:r>
          </w:p>
        </w:tc>
        <w:tc>
          <w:tcPr>
            <w:tcW w:w="6379" w:type="dxa"/>
            <w:shd w:val="clear" w:color="auto" w:fill="auto"/>
          </w:tcPr>
          <w:p>
            <w:pPr>
              <w:topLinePunct/>
              <w:spacing w:line="360" w:lineRule="exact"/>
              <w:rPr>
                <w:rFonts w:cs="宋体" w:asciiTheme="minorEastAsia" w:hAnsiTheme="minorEastAsia" w:eastAsiaTheme="minorEastAsia"/>
                <w:sz w:val="24"/>
                <w:szCs w:val="24"/>
                <w:highlight w:val="none"/>
              </w:rPr>
            </w:pPr>
            <w:r>
              <w:rPr>
                <w:rFonts w:hint="eastAsia" w:cs="宋体" w:asciiTheme="minorEastAsia" w:hAnsiTheme="minorEastAsia" w:eastAsiaTheme="minorEastAsia"/>
                <w:sz w:val="24"/>
                <w:szCs w:val="24"/>
                <w:highlight w:val="none"/>
              </w:rPr>
              <w:t>联系人：</w:t>
            </w:r>
            <w:r>
              <w:rPr>
                <w:rFonts w:hint="eastAsia" w:ascii="宋体" w:hAnsi="宋体" w:cs="宋体"/>
                <w:color w:val="000000"/>
                <w:sz w:val="24"/>
                <w:szCs w:val="24"/>
                <w:lang w:val="en-US" w:eastAsia="zh-CN"/>
              </w:rPr>
              <w:t>冷先生</w:t>
            </w:r>
            <w:r>
              <w:rPr>
                <w:rFonts w:hint="eastAsia" w:cs="宋体" w:asciiTheme="minorEastAsia" w:hAnsiTheme="minorEastAsia" w:eastAsiaTheme="minorEastAsia"/>
                <w:sz w:val="24"/>
                <w:szCs w:val="24"/>
                <w:highlight w:val="none"/>
              </w:rPr>
              <w:t>。 联系电话：</w:t>
            </w:r>
            <w:r>
              <w:rPr>
                <w:rFonts w:hint="eastAsia" w:cs="宋体" w:asciiTheme="minorEastAsia" w:hAnsiTheme="minorEastAsia" w:eastAsiaTheme="minorEastAsia"/>
                <w:sz w:val="24"/>
                <w:szCs w:val="24"/>
                <w:highlight w:val="none"/>
                <w:lang w:val="en-US" w:eastAsia="zh-CN"/>
              </w:rPr>
              <w:t>13990355543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7" w:type="dxa"/>
            <w:shd w:val="clear" w:color="auto" w:fill="auto"/>
            <w:vAlign w:val="center"/>
          </w:tcPr>
          <w:p>
            <w:pPr>
              <w:topLinePunct/>
              <w:spacing w:line="360" w:lineRule="exact"/>
              <w:jc w:val="center"/>
              <w:rPr>
                <w:rFonts w:hint="default" w:cs="宋体" w:asciiTheme="minorEastAsia" w:hAnsiTheme="minorEastAsia" w:eastAsiaTheme="minorEastAsia"/>
                <w:sz w:val="24"/>
                <w:szCs w:val="24"/>
                <w:highlight w:val="none"/>
                <w:lang w:val="en-US" w:eastAsia="zh-CN"/>
              </w:rPr>
            </w:pPr>
            <w:r>
              <w:rPr>
                <w:rFonts w:hint="eastAsia" w:cs="宋体" w:asciiTheme="minorEastAsia" w:hAnsiTheme="minorEastAsia" w:eastAsiaTheme="minorEastAsia"/>
                <w:sz w:val="24"/>
                <w:szCs w:val="24"/>
                <w:highlight w:val="none"/>
                <w:lang w:val="en-US" w:eastAsia="zh-CN"/>
              </w:rPr>
              <w:t>22</w:t>
            </w:r>
          </w:p>
        </w:tc>
        <w:tc>
          <w:tcPr>
            <w:tcW w:w="1559" w:type="dxa"/>
            <w:shd w:val="clear" w:color="auto" w:fill="auto"/>
            <w:vAlign w:val="center"/>
          </w:tcPr>
          <w:p>
            <w:pPr>
              <w:topLinePunct/>
              <w:spacing w:line="360" w:lineRule="exact"/>
              <w:ind w:left="-84" w:leftChars="-40" w:right="-84" w:rightChars="-40"/>
              <w:jc w:val="center"/>
              <w:rPr>
                <w:rFonts w:cs="宋体" w:asciiTheme="minorEastAsia" w:hAnsiTheme="minorEastAsia" w:eastAsiaTheme="minorEastAsia"/>
                <w:sz w:val="24"/>
                <w:szCs w:val="24"/>
                <w:highlight w:val="none"/>
              </w:rPr>
            </w:pPr>
            <w:r>
              <w:rPr>
                <w:rFonts w:hint="eastAsia" w:cs="宋体" w:asciiTheme="minorEastAsia" w:hAnsiTheme="minorEastAsia" w:eastAsiaTheme="minorEastAsia"/>
                <w:sz w:val="24"/>
                <w:szCs w:val="24"/>
                <w:highlight w:val="none"/>
              </w:rPr>
              <w:t>中标通知书</w:t>
            </w:r>
          </w:p>
          <w:p>
            <w:pPr>
              <w:topLinePunct/>
              <w:spacing w:line="360" w:lineRule="exact"/>
              <w:ind w:left="-84" w:leftChars="-40" w:right="-84" w:rightChars="-40"/>
              <w:jc w:val="center"/>
              <w:rPr>
                <w:rFonts w:cs="宋体" w:asciiTheme="minorEastAsia" w:hAnsiTheme="minorEastAsia" w:eastAsiaTheme="minorEastAsia"/>
                <w:sz w:val="24"/>
                <w:szCs w:val="24"/>
                <w:highlight w:val="none"/>
              </w:rPr>
            </w:pPr>
            <w:r>
              <w:rPr>
                <w:rFonts w:hint="eastAsia" w:cs="宋体" w:asciiTheme="minorEastAsia" w:hAnsiTheme="minorEastAsia" w:eastAsiaTheme="minorEastAsia"/>
                <w:sz w:val="24"/>
                <w:szCs w:val="24"/>
                <w:highlight w:val="none"/>
              </w:rPr>
              <w:t>领取</w:t>
            </w:r>
          </w:p>
        </w:tc>
        <w:tc>
          <w:tcPr>
            <w:tcW w:w="6379" w:type="dxa"/>
            <w:shd w:val="clear" w:color="auto" w:fill="auto"/>
            <w:vAlign w:val="center"/>
          </w:tcPr>
          <w:p>
            <w:pPr>
              <w:spacing w:line="600" w:lineRule="exact"/>
              <w:ind w:left="63" w:leftChars="30" w:right="63" w:rightChars="30"/>
              <w:rPr>
                <w:rFonts w:hint="eastAsia" w:ascii="宋体" w:hAnsi="宋体" w:cs="宋体"/>
                <w:sz w:val="24"/>
                <w:lang w:val="zh-CN"/>
              </w:rPr>
            </w:pPr>
            <w:r>
              <w:rPr>
                <w:rFonts w:hint="eastAsia" w:cs="宋体" w:asciiTheme="minorEastAsia" w:hAnsiTheme="minorEastAsia" w:eastAsiaTheme="minorEastAsia"/>
                <w:sz w:val="24"/>
                <w:szCs w:val="24"/>
                <w:highlight w:val="none"/>
              </w:rPr>
              <w:t>中标结果公告在</w:t>
            </w:r>
            <w:r>
              <w:rPr>
                <w:rFonts w:hint="eastAsia" w:hAnsi="宋体" w:cs="宋体"/>
                <w:color w:val="000000"/>
                <w:sz w:val="24"/>
                <w:szCs w:val="24"/>
                <w:u w:val="single"/>
                <w:lang w:val="en-US" w:eastAsia="zh-CN"/>
              </w:rPr>
              <w:t>眉山市政府采购网、四川政府采购网</w:t>
            </w:r>
            <w:r>
              <w:rPr>
                <w:rFonts w:hint="eastAsia" w:hAnsi="宋体" w:cs="宋体"/>
                <w:color w:val="000000"/>
                <w:sz w:val="24"/>
                <w:szCs w:val="24"/>
                <w:u w:val="single"/>
                <w:lang w:val="zh-CN" w:eastAsia="zh-CN"/>
              </w:rPr>
              <w:t>(http://www.ccgp-sichuan.gov.cn)、四川中岚工程项目管理有限公司官网（http://www.sczlgl.com）</w:t>
            </w:r>
            <w:r>
              <w:rPr>
                <w:rFonts w:hint="eastAsia" w:cs="宋体" w:asciiTheme="minorEastAsia" w:hAnsiTheme="minorEastAsia" w:eastAsiaTheme="minorEastAsia"/>
                <w:sz w:val="24"/>
                <w:szCs w:val="24"/>
                <w:highlight w:val="none"/>
              </w:rPr>
              <w:t>上公告的同时，</w:t>
            </w:r>
            <w:r>
              <w:rPr>
                <w:rFonts w:hint="eastAsia" w:ascii="宋体" w:hAnsi="宋体" w:cs="宋体"/>
                <w:sz w:val="24"/>
                <w:lang w:val="zh-CN"/>
              </w:rPr>
              <w:t>请</w:t>
            </w:r>
            <w:r>
              <w:rPr>
                <w:rFonts w:hint="eastAsia" w:ascii="宋体" w:hAnsi="宋体" w:cs="宋体"/>
                <w:sz w:val="24"/>
                <w:lang w:val="en-US" w:eastAsia="zh-CN"/>
              </w:rPr>
              <w:t>中标人</w:t>
            </w:r>
            <w:r>
              <w:rPr>
                <w:rFonts w:hint="eastAsia" w:ascii="宋体" w:hAnsi="宋体" w:cs="宋体"/>
                <w:sz w:val="24"/>
                <w:lang w:val="zh-CN"/>
              </w:rPr>
              <w:t>凭介绍信、有效身份证明证件到</w:t>
            </w:r>
            <w:r>
              <w:rPr>
                <w:rFonts w:hint="eastAsia" w:ascii="宋体" w:hAnsi="宋体" w:cs="宋体"/>
                <w:sz w:val="24"/>
                <w:u w:val="single"/>
              </w:rPr>
              <w:t>采购代理机构</w:t>
            </w:r>
            <w:r>
              <w:rPr>
                <w:rFonts w:hint="eastAsia" w:ascii="宋体" w:hAnsi="宋体" w:cs="宋体"/>
                <w:sz w:val="24"/>
                <w:lang w:val="zh-CN"/>
              </w:rPr>
              <w:t>领取</w:t>
            </w:r>
            <w:r>
              <w:rPr>
                <w:rFonts w:hint="eastAsia" w:ascii="宋体" w:hAnsi="宋体" w:cs="宋体"/>
                <w:sz w:val="24"/>
                <w:lang w:val="en-US" w:eastAsia="zh-CN"/>
              </w:rPr>
              <w:t>中标</w:t>
            </w:r>
            <w:r>
              <w:rPr>
                <w:rFonts w:hint="eastAsia" w:ascii="宋体" w:hAnsi="宋体" w:cs="宋体"/>
                <w:sz w:val="24"/>
                <w:lang w:val="zh-CN"/>
              </w:rPr>
              <w:t>通知书。</w:t>
            </w:r>
          </w:p>
          <w:p>
            <w:pPr>
              <w:topLinePunct/>
              <w:spacing w:line="360" w:lineRule="exact"/>
              <w:rPr>
                <w:rFonts w:cs="宋体" w:asciiTheme="minorEastAsia" w:hAnsiTheme="minorEastAsia" w:eastAsiaTheme="minorEastAsia"/>
                <w:sz w:val="24"/>
                <w:szCs w:val="24"/>
                <w:highlight w:val="none"/>
              </w:rPr>
            </w:pPr>
            <w:r>
              <w:rPr>
                <w:rFonts w:hint="eastAsia" w:ascii="宋体" w:hAnsi="宋体" w:cs="宋体"/>
                <w:sz w:val="24"/>
                <w:lang w:val="zh-CN"/>
              </w:rPr>
              <w:t>联系电话：028-38109839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7" w:type="dxa"/>
            <w:shd w:val="clear" w:color="auto" w:fill="auto"/>
            <w:vAlign w:val="center"/>
          </w:tcPr>
          <w:p>
            <w:pPr>
              <w:topLinePunct/>
              <w:spacing w:line="360" w:lineRule="exact"/>
              <w:jc w:val="center"/>
              <w:rPr>
                <w:rFonts w:hint="default" w:cs="宋体" w:asciiTheme="minorEastAsia" w:hAnsiTheme="minorEastAsia" w:eastAsiaTheme="minorEastAsia"/>
                <w:color w:val="00B050"/>
                <w:sz w:val="24"/>
                <w:szCs w:val="24"/>
                <w:highlight w:val="none"/>
                <w:lang w:val="en-US" w:eastAsia="zh-CN"/>
              </w:rPr>
            </w:pPr>
            <w:r>
              <w:rPr>
                <w:rFonts w:hint="eastAsia" w:cs="宋体" w:asciiTheme="minorEastAsia" w:hAnsiTheme="minorEastAsia" w:eastAsiaTheme="minorEastAsia"/>
                <w:color w:val="auto"/>
                <w:sz w:val="24"/>
                <w:szCs w:val="24"/>
                <w:highlight w:val="none"/>
                <w:lang w:val="en-US" w:eastAsia="zh-CN"/>
              </w:rPr>
              <w:t>23</w:t>
            </w:r>
          </w:p>
        </w:tc>
        <w:tc>
          <w:tcPr>
            <w:tcW w:w="1559" w:type="dxa"/>
            <w:shd w:val="clear" w:color="auto" w:fill="auto"/>
            <w:vAlign w:val="center"/>
          </w:tcPr>
          <w:p>
            <w:pPr>
              <w:topLinePunct/>
              <w:spacing w:line="360" w:lineRule="exact"/>
              <w:ind w:left="-84" w:leftChars="-40" w:right="-84" w:rightChars="-40"/>
              <w:jc w:val="center"/>
              <w:rPr>
                <w:rFonts w:cs="宋体" w:asciiTheme="minorEastAsia" w:hAnsiTheme="minorEastAsia" w:eastAsiaTheme="minorEastAsia"/>
                <w:sz w:val="24"/>
                <w:szCs w:val="24"/>
                <w:highlight w:val="none"/>
              </w:rPr>
            </w:pPr>
            <w:r>
              <w:rPr>
                <w:rFonts w:hint="eastAsia" w:ascii="宋体" w:hAnsi="宋体" w:eastAsia="宋体" w:cs="宋体"/>
                <w:sz w:val="24"/>
                <w:szCs w:val="24"/>
              </w:rPr>
              <w:t>投标人</w:t>
            </w:r>
            <w:r>
              <w:rPr>
                <w:rFonts w:hint="eastAsia" w:cs="宋体" w:asciiTheme="minorEastAsia" w:hAnsiTheme="minorEastAsia" w:eastAsiaTheme="minorEastAsia"/>
                <w:sz w:val="24"/>
                <w:szCs w:val="24"/>
                <w:highlight w:val="none"/>
              </w:rPr>
              <w:t>询问</w:t>
            </w:r>
          </w:p>
        </w:tc>
        <w:tc>
          <w:tcPr>
            <w:tcW w:w="6379" w:type="dxa"/>
            <w:shd w:val="clear" w:color="auto" w:fill="auto"/>
          </w:tcPr>
          <w:p>
            <w:pPr>
              <w:topLinePunct/>
              <w:spacing w:line="360" w:lineRule="exact"/>
              <w:rPr>
                <w:rFonts w:cs="宋体" w:asciiTheme="minorEastAsia" w:hAnsiTheme="minorEastAsia" w:eastAsiaTheme="minorEastAsia"/>
                <w:sz w:val="24"/>
                <w:szCs w:val="24"/>
                <w:highlight w:val="none"/>
              </w:rPr>
            </w:pPr>
            <w:r>
              <w:rPr>
                <w:rFonts w:hint="eastAsia" w:ascii="宋体" w:hAnsi="宋体" w:eastAsia="宋体" w:cs="宋体"/>
                <w:color w:val="000000"/>
                <w:sz w:val="24"/>
                <w:szCs w:val="24"/>
                <w:highlight w:val="none"/>
                <w:lang w:val="zh-CN"/>
              </w:rPr>
              <w:t>根据委托代理协议约定，投标人询问由</w:t>
            </w:r>
            <w:r>
              <w:rPr>
                <w:rFonts w:hint="eastAsia" w:ascii="宋体" w:hAnsi="宋体" w:eastAsia="宋体" w:cs="宋体"/>
                <w:b/>
                <w:bCs/>
                <w:color w:val="000000"/>
                <w:sz w:val="24"/>
                <w:szCs w:val="24"/>
                <w:highlight w:val="none"/>
                <w:u w:val="single"/>
                <w:lang w:val="zh-CN"/>
              </w:rPr>
              <w:t>四川</w:t>
            </w:r>
            <w:r>
              <w:rPr>
                <w:rFonts w:hint="eastAsia" w:ascii="宋体" w:hAnsi="宋体" w:eastAsia="宋体" w:cs="宋体"/>
                <w:b/>
                <w:bCs/>
                <w:color w:val="000000"/>
                <w:sz w:val="24"/>
                <w:szCs w:val="24"/>
                <w:highlight w:val="none"/>
                <w:u w:val="single"/>
                <w:lang w:val="en-US" w:eastAsia="zh-CN"/>
              </w:rPr>
              <w:t>中岚</w:t>
            </w:r>
            <w:r>
              <w:rPr>
                <w:rFonts w:hint="eastAsia" w:ascii="宋体" w:hAnsi="宋体" w:eastAsia="宋体" w:cs="宋体"/>
                <w:b/>
                <w:bCs/>
                <w:color w:val="000000"/>
                <w:sz w:val="24"/>
                <w:szCs w:val="24"/>
                <w:highlight w:val="none"/>
                <w:u w:val="single"/>
                <w:lang w:val="zh-CN"/>
              </w:rPr>
              <w:t>工程</w:t>
            </w:r>
            <w:r>
              <w:rPr>
                <w:rFonts w:hint="eastAsia" w:ascii="宋体" w:hAnsi="宋体" w:eastAsia="宋体" w:cs="宋体"/>
                <w:b/>
                <w:bCs/>
                <w:color w:val="000000"/>
                <w:sz w:val="24"/>
                <w:szCs w:val="24"/>
                <w:highlight w:val="none"/>
                <w:u w:val="single"/>
                <w:lang w:val="en-US" w:eastAsia="zh-CN"/>
              </w:rPr>
              <w:t>项目</w:t>
            </w:r>
            <w:r>
              <w:rPr>
                <w:rFonts w:hint="eastAsia" w:ascii="宋体" w:hAnsi="宋体" w:eastAsia="宋体" w:cs="宋体"/>
                <w:b/>
                <w:bCs/>
                <w:color w:val="000000"/>
                <w:sz w:val="24"/>
                <w:szCs w:val="24"/>
                <w:highlight w:val="none"/>
                <w:u w:val="single"/>
                <w:lang w:val="zh-CN"/>
              </w:rPr>
              <w:t>管理有限公司</w:t>
            </w:r>
            <w:r>
              <w:rPr>
                <w:rFonts w:hint="eastAsia" w:ascii="宋体" w:hAnsi="宋体" w:eastAsia="宋体" w:cs="宋体"/>
                <w:color w:val="000000"/>
                <w:sz w:val="24"/>
                <w:szCs w:val="24"/>
                <w:highlight w:val="none"/>
                <w:lang w:val="zh-CN"/>
              </w:rPr>
              <w:t>负责答复。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7" w:type="dxa"/>
            <w:shd w:val="clear" w:color="auto" w:fill="auto"/>
            <w:vAlign w:val="center"/>
          </w:tcPr>
          <w:p>
            <w:pPr>
              <w:topLinePunct/>
              <w:spacing w:line="360" w:lineRule="exact"/>
              <w:jc w:val="center"/>
              <w:rPr>
                <w:rFonts w:hint="default" w:cs="宋体" w:asciiTheme="minorEastAsia" w:hAnsiTheme="minorEastAsia" w:eastAsiaTheme="minorEastAsia"/>
                <w:sz w:val="24"/>
                <w:szCs w:val="24"/>
                <w:highlight w:val="none"/>
                <w:lang w:val="en-US" w:eastAsia="zh-CN"/>
              </w:rPr>
            </w:pPr>
            <w:r>
              <w:rPr>
                <w:rFonts w:hint="eastAsia" w:cs="宋体" w:asciiTheme="minorEastAsia" w:hAnsiTheme="minorEastAsia" w:eastAsiaTheme="minorEastAsia"/>
                <w:sz w:val="24"/>
                <w:szCs w:val="24"/>
                <w:highlight w:val="none"/>
                <w:lang w:val="en-US" w:eastAsia="zh-CN"/>
              </w:rPr>
              <w:t>24</w:t>
            </w:r>
          </w:p>
        </w:tc>
        <w:tc>
          <w:tcPr>
            <w:tcW w:w="1559" w:type="dxa"/>
            <w:shd w:val="clear" w:color="auto" w:fill="auto"/>
            <w:vAlign w:val="center"/>
          </w:tcPr>
          <w:p>
            <w:pPr>
              <w:topLinePunct/>
              <w:spacing w:line="360" w:lineRule="exact"/>
              <w:ind w:left="-84" w:leftChars="-40" w:right="-84" w:rightChars="-40"/>
              <w:jc w:val="center"/>
              <w:rPr>
                <w:rFonts w:cs="宋体" w:asciiTheme="minorEastAsia" w:hAnsiTheme="minorEastAsia" w:eastAsiaTheme="minorEastAsia"/>
                <w:sz w:val="24"/>
                <w:szCs w:val="24"/>
                <w:highlight w:val="none"/>
              </w:rPr>
            </w:pPr>
            <w:r>
              <w:rPr>
                <w:rFonts w:hint="eastAsia" w:ascii="宋体" w:hAnsi="宋体" w:eastAsia="宋体" w:cs="宋体"/>
                <w:sz w:val="24"/>
                <w:szCs w:val="24"/>
              </w:rPr>
              <w:t>投标人</w:t>
            </w:r>
            <w:r>
              <w:rPr>
                <w:rFonts w:hint="eastAsia" w:cs="宋体" w:asciiTheme="minorEastAsia" w:hAnsiTheme="minorEastAsia" w:eastAsiaTheme="minorEastAsia"/>
                <w:sz w:val="24"/>
                <w:szCs w:val="24"/>
                <w:highlight w:val="none"/>
              </w:rPr>
              <w:t>质疑</w:t>
            </w:r>
          </w:p>
        </w:tc>
        <w:tc>
          <w:tcPr>
            <w:tcW w:w="6379" w:type="dxa"/>
            <w:shd w:val="clear" w:color="auto" w:fill="auto"/>
            <w:vAlign w:val="center"/>
          </w:tcPr>
          <w:p>
            <w:pPr>
              <w:pStyle w:val="34"/>
              <w:keepNext w:val="0"/>
              <w:keepLines w:val="0"/>
              <w:pageBreakBefore w:val="0"/>
              <w:widowControl w:val="0"/>
              <w:kinsoku/>
              <w:overflowPunct/>
              <w:bidi w:val="0"/>
              <w:snapToGrid/>
              <w:spacing w:line="600" w:lineRule="exact"/>
              <w:ind w:left="42" w:leftChars="20" w:right="42" w:rightChars="20" w:firstLine="0" w:firstLineChars="0"/>
              <w:jc w:val="left"/>
              <w:textAlignment w:val="auto"/>
              <w:rPr>
                <w:rFonts w:hint="eastAsia" w:ascii="宋体" w:hAnsi="宋体" w:eastAsia="宋体" w:cs="宋体"/>
                <w:kern w:val="2"/>
                <w:sz w:val="24"/>
                <w:szCs w:val="24"/>
                <w:lang w:val="zh-CN" w:eastAsia="zh-CN" w:bidi="ar-SA"/>
              </w:rPr>
            </w:pPr>
            <w:r>
              <w:rPr>
                <w:rFonts w:hint="eastAsia" w:ascii="宋体" w:hAnsi="宋体" w:eastAsia="宋体" w:cs="宋体"/>
                <w:kern w:val="2"/>
                <w:sz w:val="24"/>
                <w:szCs w:val="24"/>
                <w:lang w:val="zh-CN" w:eastAsia="zh-CN" w:bidi="ar-SA"/>
              </w:rPr>
              <w:t>投标人对招标文件中的特殊条件、技术、服务及其他要求、评标结果、定标结果的质疑，由采购人进行答复；对采购过程和程序等内容的质疑，由采购代理机构进行答复。</w:t>
            </w:r>
          </w:p>
          <w:p>
            <w:pPr>
              <w:pStyle w:val="34"/>
              <w:keepNext w:val="0"/>
              <w:keepLines w:val="0"/>
              <w:pageBreakBefore w:val="0"/>
              <w:widowControl w:val="0"/>
              <w:kinsoku/>
              <w:overflowPunct/>
              <w:bidi w:val="0"/>
              <w:snapToGrid/>
              <w:spacing w:line="600" w:lineRule="exact"/>
              <w:ind w:left="42" w:leftChars="20" w:right="42" w:rightChars="20" w:firstLine="0" w:firstLineChars="0"/>
              <w:jc w:val="left"/>
              <w:textAlignment w:val="auto"/>
              <w:rPr>
                <w:rFonts w:hint="eastAsia" w:ascii="宋体" w:hAnsi="宋体" w:eastAsia="宋体" w:cs="宋体"/>
                <w:kern w:val="2"/>
                <w:sz w:val="24"/>
                <w:szCs w:val="24"/>
                <w:lang w:val="zh-CN" w:eastAsia="zh-CN" w:bidi="ar-SA"/>
              </w:rPr>
            </w:pPr>
            <w:r>
              <w:rPr>
                <w:rFonts w:hint="eastAsia" w:ascii="宋体" w:hAnsi="宋体" w:eastAsia="宋体" w:cs="宋体"/>
                <w:kern w:val="2"/>
                <w:sz w:val="24"/>
                <w:szCs w:val="24"/>
                <w:lang w:val="zh-CN" w:eastAsia="zh-CN" w:bidi="ar-SA"/>
              </w:rPr>
              <w:t>注：根据中华人民共和国财政部令第94号--政府采购质疑和投诉办法的规定，投标人质疑不得超出采购文件、采购过程、采购结果的范围。</w:t>
            </w:r>
          </w:p>
          <w:p>
            <w:pPr>
              <w:pStyle w:val="34"/>
              <w:keepNext w:val="0"/>
              <w:keepLines w:val="0"/>
              <w:pageBreakBefore w:val="0"/>
              <w:widowControl w:val="0"/>
              <w:kinsoku/>
              <w:overflowPunct/>
              <w:bidi w:val="0"/>
              <w:snapToGrid/>
              <w:spacing w:line="600" w:lineRule="exact"/>
              <w:ind w:left="42" w:leftChars="20" w:right="42" w:rightChars="20" w:firstLine="0" w:firstLineChars="0"/>
              <w:jc w:val="left"/>
              <w:textAlignment w:val="auto"/>
              <w:rPr>
                <w:rFonts w:hint="eastAsia" w:ascii="宋体" w:hAnsi="宋体" w:eastAsia="宋体" w:cs="宋体"/>
                <w:kern w:val="2"/>
                <w:sz w:val="24"/>
                <w:szCs w:val="24"/>
                <w:lang w:val="zh-CN" w:eastAsia="zh-CN" w:bidi="ar-SA"/>
              </w:rPr>
            </w:pPr>
            <w:r>
              <w:rPr>
                <w:rFonts w:hint="eastAsia" w:ascii="宋体" w:hAnsi="宋体" w:eastAsia="宋体" w:cs="宋体"/>
                <w:kern w:val="2"/>
                <w:sz w:val="24"/>
                <w:szCs w:val="24"/>
                <w:lang w:val="zh-CN" w:eastAsia="zh-CN" w:bidi="ar-SA"/>
              </w:rPr>
              <w:t>质疑方式：</w:t>
            </w:r>
            <w:r>
              <w:rPr>
                <w:rFonts w:hint="eastAsia" w:cs="宋体"/>
                <w:kern w:val="2"/>
                <w:sz w:val="24"/>
                <w:szCs w:val="24"/>
                <w:lang w:val="zh-CN" w:eastAsia="zh-CN" w:bidi="ar-SA"/>
              </w:rPr>
              <w:t>以</w:t>
            </w:r>
            <w:r>
              <w:rPr>
                <w:rFonts w:hint="eastAsia" w:ascii="宋体" w:hAnsi="宋体" w:eastAsia="宋体" w:cs="宋体"/>
                <w:kern w:val="2"/>
                <w:sz w:val="24"/>
                <w:szCs w:val="24"/>
                <w:lang w:val="zh-CN" w:eastAsia="zh-CN" w:bidi="ar-SA"/>
              </w:rPr>
              <w:t>书面</w:t>
            </w:r>
            <w:r>
              <w:rPr>
                <w:rFonts w:hint="eastAsia" w:cs="宋体"/>
                <w:kern w:val="2"/>
                <w:sz w:val="24"/>
                <w:szCs w:val="24"/>
                <w:lang w:val="zh-CN" w:eastAsia="zh-CN" w:bidi="ar-SA"/>
              </w:rPr>
              <w:t>的形式</w:t>
            </w:r>
          </w:p>
          <w:p>
            <w:pPr>
              <w:pStyle w:val="34"/>
              <w:keepNext w:val="0"/>
              <w:keepLines w:val="0"/>
              <w:pageBreakBefore w:val="0"/>
              <w:widowControl w:val="0"/>
              <w:kinsoku/>
              <w:overflowPunct/>
              <w:bidi w:val="0"/>
              <w:snapToGrid/>
              <w:spacing w:line="600" w:lineRule="exact"/>
              <w:ind w:left="42" w:leftChars="20" w:right="42" w:rightChars="20" w:firstLine="0" w:firstLineChars="0"/>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zh-CN" w:eastAsia="zh-CN" w:bidi="ar-SA"/>
              </w:rPr>
              <w:t>联 系 人：</w:t>
            </w:r>
            <w:r>
              <w:rPr>
                <w:rFonts w:hint="eastAsia" w:ascii="宋体" w:hAnsi="宋体" w:eastAsia="宋体" w:cs="宋体"/>
                <w:kern w:val="2"/>
                <w:sz w:val="24"/>
                <w:szCs w:val="24"/>
                <w:lang w:val="en-US" w:eastAsia="zh-CN" w:bidi="ar-SA"/>
              </w:rPr>
              <w:t>胡女士</w:t>
            </w:r>
          </w:p>
          <w:p>
            <w:pPr>
              <w:pStyle w:val="34"/>
              <w:keepNext w:val="0"/>
              <w:keepLines w:val="0"/>
              <w:pageBreakBefore w:val="0"/>
              <w:widowControl w:val="0"/>
              <w:kinsoku/>
              <w:overflowPunct/>
              <w:bidi w:val="0"/>
              <w:snapToGrid/>
              <w:spacing w:line="600" w:lineRule="exact"/>
              <w:ind w:left="42" w:leftChars="20" w:right="42" w:rightChars="20" w:firstLine="0" w:firstLineChars="0"/>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zh-CN" w:eastAsia="zh-CN" w:bidi="ar-SA"/>
              </w:rPr>
              <w:t>联系电话：</w:t>
            </w:r>
            <w:r>
              <w:rPr>
                <w:rFonts w:hint="eastAsia" w:ascii="宋体" w:hAnsi="宋体" w:eastAsia="宋体" w:cs="宋体"/>
                <w:kern w:val="2"/>
                <w:sz w:val="24"/>
                <w:szCs w:val="24"/>
                <w:lang w:val="en-US" w:eastAsia="zh-CN" w:bidi="ar-SA"/>
              </w:rPr>
              <w:t>028-38109839</w:t>
            </w:r>
          </w:p>
          <w:p>
            <w:pPr>
              <w:pStyle w:val="34"/>
              <w:keepNext w:val="0"/>
              <w:keepLines w:val="0"/>
              <w:pageBreakBefore w:val="0"/>
              <w:widowControl w:val="0"/>
              <w:kinsoku/>
              <w:overflowPunct/>
              <w:bidi w:val="0"/>
              <w:snapToGrid/>
              <w:spacing w:line="600" w:lineRule="exact"/>
              <w:ind w:left="42" w:leftChars="20" w:right="42" w:rightChars="20" w:firstLine="0" w:firstLineChars="0"/>
              <w:jc w:val="both"/>
              <w:textAlignment w:val="auto"/>
              <w:rPr>
                <w:rFonts w:hint="eastAsia" w:ascii="宋体" w:hAnsi="宋体" w:eastAsia="宋体" w:cs="宋体"/>
                <w:color w:val="000000"/>
                <w:sz w:val="24"/>
                <w:szCs w:val="24"/>
                <w:highlight w:val="none"/>
                <w:lang w:val="zh-CN"/>
              </w:rPr>
            </w:pPr>
            <w:r>
              <w:rPr>
                <w:rFonts w:hint="eastAsia" w:ascii="宋体" w:hAnsi="宋体" w:eastAsia="宋体" w:cs="宋体"/>
                <w:kern w:val="2"/>
                <w:sz w:val="24"/>
                <w:szCs w:val="24"/>
                <w:lang w:val="zh-CN" w:eastAsia="zh-CN" w:bidi="ar-SA"/>
              </w:rPr>
              <w:t>联系地址：眉山市东坡区眉州大道东三段天天向上186号5幢1单元11层3号 </w:t>
            </w:r>
          </w:p>
          <w:p>
            <w:pPr>
              <w:pStyle w:val="34"/>
              <w:keepNext w:val="0"/>
              <w:keepLines w:val="0"/>
              <w:pageBreakBefore w:val="0"/>
              <w:widowControl w:val="0"/>
              <w:kinsoku/>
              <w:overflowPunct/>
              <w:bidi w:val="0"/>
              <w:snapToGrid/>
              <w:spacing w:line="600" w:lineRule="exact"/>
              <w:ind w:left="42" w:leftChars="20" w:right="42" w:rightChars="20" w:firstLine="0" w:firstLineChars="0"/>
              <w:jc w:val="both"/>
              <w:textAlignment w:val="auto"/>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zh-CN"/>
              </w:rPr>
              <w:t>邮政编码：</w:t>
            </w:r>
            <w:r>
              <w:rPr>
                <w:rFonts w:hint="eastAsia" w:ascii="宋体" w:hAnsi="宋体" w:eastAsia="宋体" w:cs="宋体"/>
                <w:color w:val="000000"/>
                <w:sz w:val="24"/>
                <w:szCs w:val="24"/>
                <w:highlight w:val="none"/>
              </w:rPr>
              <w:t>6200</w:t>
            </w:r>
            <w:r>
              <w:rPr>
                <w:rFonts w:hint="eastAsia" w:ascii="宋体" w:hAnsi="宋体" w:eastAsia="宋体" w:cs="宋体"/>
                <w:color w:val="000000"/>
                <w:sz w:val="24"/>
                <w:szCs w:val="24"/>
                <w:highlight w:val="none"/>
                <w:lang w:val="en-US" w:eastAsia="zh-CN"/>
              </w:rPr>
              <w:t>10</w:t>
            </w:r>
          </w:p>
          <w:p>
            <w:pPr>
              <w:topLinePunct/>
              <w:spacing w:line="360" w:lineRule="exact"/>
              <w:rPr>
                <w:rFonts w:cs="宋体" w:asciiTheme="minorEastAsia" w:hAnsiTheme="minorEastAsia" w:eastAsiaTheme="minorEastAsia"/>
                <w:sz w:val="24"/>
                <w:szCs w:val="24"/>
                <w:highlight w:val="none"/>
              </w:rPr>
            </w:pPr>
            <w:r>
              <w:rPr>
                <w:rFonts w:hint="eastAsia" w:ascii="宋体" w:hAnsi="宋体" w:eastAsia="宋体" w:cs="宋体"/>
                <w:color w:val="000000"/>
                <w:sz w:val="24"/>
                <w:szCs w:val="24"/>
                <w:highlight w:val="none"/>
                <w:lang w:val="zh-CN"/>
              </w:rPr>
              <w:t>注：根据《中华人民共和国政府采购法》的规定，供应商质疑不得超出采购文件、采购过程、采购结果的范围。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7" w:type="dxa"/>
            <w:shd w:val="clear" w:color="auto" w:fill="auto"/>
            <w:vAlign w:val="center"/>
          </w:tcPr>
          <w:p>
            <w:pPr>
              <w:topLinePunct/>
              <w:spacing w:line="360" w:lineRule="exact"/>
              <w:jc w:val="center"/>
              <w:rPr>
                <w:rFonts w:hint="default" w:cs="宋体" w:asciiTheme="minorEastAsia" w:hAnsiTheme="minorEastAsia" w:eastAsiaTheme="minorEastAsia"/>
                <w:sz w:val="24"/>
                <w:szCs w:val="24"/>
                <w:highlight w:val="none"/>
                <w:lang w:val="en-US" w:eastAsia="zh-CN"/>
              </w:rPr>
            </w:pPr>
            <w:r>
              <w:rPr>
                <w:rFonts w:hint="eastAsia" w:cs="宋体" w:asciiTheme="minorEastAsia" w:hAnsiTheme="minorEastAsia" w:eastAsiaTheme="minorEastAsia"/>
                <w:sz w:val="24"/>
                <w:szCs w:val="24"/>
                <w:highlight w:val="none"/>
                <w:lang w:val="en-US" w:eastAsia="zh-CN"/>
              </w:rPr>
              <w:t>25</w:t>
            </w:r>
          </w:p>
        </w:tc>
        <w:tc>
          <w:tcPr>
            <w:tcW w:w="1559" w:type="dxa"/>
            <w:shd w:val="clear" w:color="auto" w:fill="auto"/>
            <w:vAlign w:val="center"/>
          </w:tcPr>
          <w:p>
            <w:pPr>
              <w:topLinePunct/>
              <w:spacing w:line="360" w:lineRule="exact"/>
              <w:ind w:left="-84" w:leftChars="-40" w:right="-84" w:rightChars="-40"/>
              <w:jc w:val="center"/>
              <w:rPr>
                <w:rFonts w:cs="宋体" w:asciiTheme="minorEastAsia" w:hAnsiTheme="minorEastAsia" w:eastAsiaTheme="minorEastAsia"/>
                <w:sz w:val="24"/>
                <w:szCs w:val="24"/>
                <w:highlight w:val="none"/>
              </w:rPr>
            </w:pPr>
            <w:r>
              <w:rPr>
                <w:rFonts w:hint="eastAsia" w:ascii="宋体" w:hAnsi="宋体" w:eastAsia="宋体" w:cs="宋体"/>
                <w:sz w:val="24"/>
                <w:szCs w:val="24"/>
              </w:rPr>
              <w:t>投标人</w:t>
            </w:r>
            <w:r>
              <w:rPr>
                <w:rFonts w:hint="eastAsia" w:cs="宋体" w:asciiTheme="minorEastAsia" w:hAnsiTheme="minorEastAsia" w:eastAsiaTheme="minorEastAsia"/>
                <w:sz w:val="24"/>
                <w:szCs w:val="24"/>
                <w:highlight w:val="none"/>
              </w:rPr>
              <w:t>投诉</w:t>
            </w:r>
          </w:p>
        </w:tc>
        <w:tc>
          <w:tcPr>
            <w:tcW w:w="6379" w:type="dxa"/>
            <w:shd w:val="clear" w:color="auto" w:fill="auto"/>
          </w:tcPr>
          <w:p>
            <w:pPr>
              <w:topLinePunct/>
              <w:spacing w:line="360" w:lineRule="exact"/>
              <w:rPr>
                <w:rFonts w:cs="宋体" w:asciiTheme="minorEastAsia" w:hAnsiTheme="minorEastAsia" w:eastAsiaTheme="minorEastAsia"/>
                <w:sz w:val="24"/>
                <w:szCs w:val="24"/>
                <w:highlight w:val="none"/>
              </w:rPr>
            </w:pPr>
            <w:r>
              <w:rPr>
                <w:rFonts w:hint="eastAsia" w:cs="宋体" w:asciiTheme="minorEastAsia" w:hAnsiTheme="minorEastAsia" w:eastAsiaTheme="minorEastAsia"/>
                <w:sz w:val="24"/>
                <w:szCs w:val="24"/>
                <w:highlight w:val="none"/>
              </w:rPr>
              <w:t>投诉受理单位：本采购项目同级财政部门，即</w:t>
            </w:r>
            <w:r>
              <w:rPr>
                <w:rFonts w:hint="eastAsia" w:cs="宋体" w:asciiTheme="minorEastAsia" w:hAnsiTheme="minorEastAsia" w:eastAsiaTheme="minorEastAsia"/>
                <w:color w:val="auto"/>
                <w:sz w:val="24"/>
                <w:szCs w:val="24"/>
                <w:highlight w:val="none"/>
              </w:rPr>
              <w:t>眉山市财政局</w:t>
            </w:r>
            <w:r>
              <w:rPr>
                <w:rFonts w:hint="eastAsia" w:cs="宋体" w:asciiTheme="minorEastAsia" w:hAnsiTheme="minorEastAsia" w:eastAsiaTheme="minorEastAsia"/>
                <w:sz w:val="24"/>
                <w:szCs w:val="24"/>
                <w:highlight w:val="none"/>
              </w:rPr>
              <w:t xml:space="preserve">。 </w:t>
            </w:r>
          </w:p>
          <w:p>
            <w:pPr>
              <w:topLinePunct/>
              <w:spacing w:line="360" w:lineRule="exact"/>
              <w:rPr>
                <w:rFonts w:cs="宋体" w:asciiTheme="minorEastAsia" w:hAnsiTheme="minorEastAsia" w:eastAsiaTheme="minorEastAsia"/>
                <w:sz w:val="24"/>
                <w:szCs w:val="24"/>
                <w:highlight w:val="none"/>
              </w:rPr>
            </w:pPr>
            <w:r>
              <w:rPr>
                <w:rFonts w:hint="eastAsia" w:cs="宋体" w:asciiTheme="minorEastAsia" w:hAnsiTheme="minorEastAsia" w:eastAsiaTheme="minorEastAsia"/>
                <w:sz w:val="24"/>
                <w:szCs w:val="24"/>
                <w:highlight w:val="none"/>
              </w:rPr>
              <w:t>投诉方式：书面方式。</w:t>
            </w:r>
          </w:p>
          <w:p>
            <w:pPr>
              <w:topLinePunct/>
              <w:spacing w:line="360" w:lineRule="exact"/>
              <w:rPr>
                <w:rFonts w:cs="宋体" w:asciiTheme="minorEastAsia" w:hAnsiTheme="minorEastAsia" w:eastAsiaTheme="minorEastAsia"/>
                <w:color w:val="auto"/>
                <w:sz w:val="24"/>
                <w:szCs w:val="24"/>
                <w:highlight w:val="none"/>
              </w:rPr>
            </w:pPr>
            <w:r>
              <w:rPr>
                <w:rFonts w:hint="eastAsia" w:cs="宋体" w:asciiTheme="minorEastAsia" w:hAnsiTheme="minorEastAsia" w:eastAsiaTheme="minorEastAsia"/>
                <w:sz w:val="24"/>
                <w:szCs w:val="24"/>
                <w:highlight w:val="none"/>
              </w:rPr>
              <w:t>联系电话：</w:t>
            </w:r>
            <w:r>
              <w:rPr>
                <w:rFonts w:hint="eastAsia" w:cs="宋体" w:asciiTheme="minorEastAsia" w:hAnsiTheme="minorEastAsia" w:eastAsiaTheme="minorEastAsia"/>
                <w:color w:val="auto"/>
                <w:sz w:val="24"/>
                <w:szCs w:val="24"/>
                <w:highlight w:val="none"/>
              </w:rPr>
              <w:t>028-38166770。</w:t>
            </w:r>
          </w:p>
          <w:p>
            <w:pPr>
              <w:topLinePunct/>
              <w:spacing w:line="360" w:lineRule="exact"/>
              <w:rPr>
                <w:rFonts w:cs="宋体" w:asciiTheme="minorEastAsia" w:hAnsiTheme="minorEastAsia" w:eastAsiaTheme="minorEastAsia"/>
                <w:sz w:val="24"/>
                <w:szCs w:val="24"/>
                <w:highlight w:val="none"/>
              </w:rPr>
            </w:pPr>
            <w:r>
              <w:rPr>
                <w:rFonts w:hint="eastAsia" w:cs="宋体" w:asciiTheme="minorEastAsia" w:hAnsiTheme="minorEastAsia" w:eastAsiaTheme="minorEastAsia"/>
                <w:color w:val="auto"/>
                <w:sz w:val="24"/>
                <w:szCs w:val="24"/>
                <w:highlight w:val="none"/>
              </w:rPr>
              <w:t>地址：眉山市眉州大道西二段116号。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7" w:type="dxa"/>
            <w:shd w:val="clear" w:color="auto" w:fill="auto"/>
            <w:vAlign w:val="center"/>
          </w:tcPr>
          <w:p>
            <w:pPr>
              <w:topLinePunct/>
              <w:spacing w:line="360" w:lineRule="exact"/>
              <w:jc w:val="center"/>
              <w:rPr>
                <w:rFonts w:hint="default" w:cs="宋体" w:asciiTheme="minorEastAsia" w:hAnsiTheme="minorEastAsia" w:eastAsiaTheme="minorEastAsia"/>
                <w:sz w:val="24"/>
                <w:szCs w:val="24"/>
                <w:highlight w:val="none"/>
                <w:lang w:val="en-US" w:eastAsia="zh-CN"/>
              </w:rPr>
            </w:pPr>
            <w:r>
              <w:rPr>
                <w:rFonts w:hint="eastAsia" w:cs="宋体" w:asciiTheme="minorEastAsia" w:hAnsiTheme="minorEastAsia" w:eastAsiaTheme="minorEastAsia"/>
                <w:sz w:val="24"/>
                <w:szCs w:val="24"/>
                <w:highlight w:val="none"/>
                <w:lang w:val="en-US" w:eastAsia="zh-CN"/>
              </w:rPr>
              <w:t>26</w:t>
            </w:r>
          </w:p>
        </w:tc>
        <w:tc>
          <w:tcPr>
            <w:tcW w:w="1559" w:type="dxa"/>
            <w:shd w:val="clear" w:color="auto" w:fill="auto"/>
            <w:vAlign w:val="center"/>
          </w:tcPr>
          <w:p>
            <w:pPr>
              <w:topLinePunct/>
              <w:spacing w:line="360" w:lineRule="exact"/>
              <w:ind w:left="-84" w:leftChars="-40" w:right="-84" w:rightChars="-40"/>
              <w:jc w:val="center"/>
              <w:rPr>
                <w:rFonts w:cs="宋体" w:asciiTheme="minorEastAsia" w:hAnsiTheme="minorEastAsia" w:eastAsiaTheme="minorEastAsia"/>
                <w:sz w:val="24"/>
                <w:szCs w:val="24"/>
                <w:highlight w:val="none"/>
              </w:rPr>
            </w:pPr>
            <w:r>
              <w:rPr>
                <w:rFonts w:hint="eastAsia" w:cs="宋体" w:asciiTheme="minorEastAsia" w:hAnsiTheme="minorEastAsia" w:eastAsiaTheme="minorEastAsia"/>
                <w:sz w:val="24"/>
                <w:szCs w:val="24"/>
                <w:highlight w:val="none"/>
              </w:rPr>
              <w:t>政府采购合同</w:t>
            </w:r>
          </w:p>
          <w:p>
            <w:pPr>
              <w:topLinePunct/>
              <w:spacing w:line="360" w:lineRule="exact"/>
              <w:ind w:left="-84" w:leftChars="-40" w:right="-84" w:rightChars="-40"/>
              <w:jc w:val="center"/>
              <w:rPr>
                <w:rFonts w:cs="宋体" w:asciiTheme="minorEastAsia" w:hAnsiTheme="minorEastAsia" w:eastAsiaTheme="minorEastAsia"/>
                <w:sz w:val="24"/>
                <w:szCs w:val="24"/>
                <w:highlight w:val="none"/>
              </w:rPr>
            </w:pPr>
            <w:r>
              <w:rPr>
                <w:rFonts w:hint="eastAsia" w:cs="宋体" w:asciiTheme="minorEastAsia" w:hAnsiTheme="minorEastAsia" w:eastAsiaTheme="minorEastAsia"/>
                <w:sz w:val="24"/>
                <w:szCs w:val="24"/>
                <w:highlight w:val="none"/>
              </w:rPr>
              <w:t>公告</w:t>
            </w:r>
          </w:p>
        </w:tc>
        <w:tc>
          <w:tcPr>
            <w:tcW w:w="6379" w:type="dxa"/>
            <w:shd w:val="clear" w:color="auto" w:fill="auto"/>
          </w:tcPr>
          <w:p>
            <w:pPr>
              <w:topLinePunct/>
              <w:spacing w:line="360" w:lineRule="exact"/>
              <w:rPr>
                <w:rFonts w:cs="宋体" w:asciiTheme="minorEastAsia" w:hAnsiTheme="minorEastAsia" w:eastAsiaTheme="minorEastAsia"/>
                <w:sz w:val="24"/>
                <w:szCs w:val="24"/>
                <w:highlight w:val="none"/>
              </w:rPr>
            </w:pPr>
            <w:r>
              <w:rPr>
                <w:rFonts w:hint="eastAsia" w:ascii="宋体" w:hAnsi="宋体" w:eastAsia="宋体" w:cs="宋体"/>
                <w:sz w:val="24"/>
                <w:szCs w:val="24"/>
                <w:lang w:val="zh-CN"/>
              </w:rPr>
              <w:t>政府采购合同签订之日起2个工作日内，政府采购合同将在</w:t>
            </w:r>
            <w:r>
              <w:rPr>
                <w:rFonts w:hint="eastAsia" w:ascii="宋体" w:hAnsi="宋体" w:eastAsia="宋体" w:cs="宋体"/>
                <w:b/>
                <w:sz w:val="24"/>
                <w:szCs w:val="24"/>
                <w:u w:val="single"/>
                <w:lang w:eastAsia="zh-CN"/>
              </w:rPr>
              <w:t>眉山市政府采购网（http://183.223.236.24）、四川政府采购网（www.ccgp-sichuan.gov.cn）</w:t>
            </w:r>
            <w:r>
              <w:rPr>
                <w:rFonts w:hint="eastAsia" w:ascii="宋体" w:hAnsi="宋体" w:eastAsia="宋体" w:cs="宋体"/>
                <w:sz w:val="24"/>
                <w:szCs w:val="24"/>
                <w:lang w:val="zh-CN"/>
              </w:rPr>
              <w:t>公告；政府采购合同签订之日起七个工作日内，政府采购合同将送采购项目同级财政部门备案；并同时送采购代理机构留存。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7" w:type="dxa"/>
            <w:shd w:val="clear" w:color="auto" w:fill="auto"/>
            <w:vAlign w:val="center"/>
          </w:tcPr>
          <w:p>
            <w:pPr>
              <w:topLinePunct/>
              <w:spacing w:line="360" w:lineRule="exact"/>
              <w:jc w:val="center"/>
              <w:rPr>
                <w:rFonts w:hint="default" w:cs="宋体" w:asciiTheme="minorEastAsia" w:hAnsiTheme="minorEastAsia" w:eastAsiaTheme="minorEastAsia"/>
                <w:sz w:val="24"/>
                <w:szCs w:val="24"/>
                <w:highlight w:val="none"/>
                <w:lang w:val="en-US" w:eastAsia="zh-CN"/>
              </w:rPr>
            </w:pPr>
            <w:r>
              <w:rPr>
                <w:rFonts w:hint="eastAsia" w:cs="宋体" w:asciiTheme="minorEastAsia" w:hAnsiTheme="minorEastAsia" w:eastAsiaTheme="minorEastAsia"/>
                <w:sz w:val="24"/>
                <w:szCs w:val="24"/>
                <w:highlight w:val="none"/>
                <w:lang w:val="en-US" w:eastAsia="zh-CN"/>
              </w:rPr>
              <w:t>27</w:t>
            </w:r>
          </w:p>
        </w:tc>
        <w:tc>
          <w:tcPr>
            <w:tcW w:w="1559" w:type="dxa"/>
            <w:shd w:val="clear" w:color="auto" w:fill="auto"/>
            <w:vAlign w:val="center"/>
          </w:tcPr>
          <w:p>
            <w:pPr>
              <w:topLinePunct/>
              <w:spacing w:line="360" w:lineRule="exact"/>
              <w:ind w:left="-84" w:leftChars="-40" w:right="-84" w:rightChars="-40"/>
              <w:jc w:val="center"/>
              <w:rPr>
                <w:rFonts w:cs="宋体" w:asciiTheme="minorEastAsia" w:hAnsiTheme="minorEastAsia" w:eastAsiaTheme="minorEastAsia"/>
                <w:sz w:val="24"/>
                <w:szCs w:val="24"/>
                <w:highlight w:val="none"/>
              </w:rPr>
            </w:pPr>
            <w:r>
              <w:rPr>
                <w:rFonts w:hint="eastAsia" w:cs="宋体" w:asciiTheme="minorEastAsia" w:hAnsiTheme="minorEastAsia" w:eastAsiaTheme="minorEastAsia"/>
                <w:sz w:val="24"/>
                <w:szCs w:val="24"/>
                <w:highlight w:val="none"/>
              </w:rPr>
              <w:t>澄清公告的</w:t>
            </w:r>
          </w:p>
          <w:p>
            <w:pPr>
              <w:topLinePunct/>
              <w:spacing w:line="360" w:lineRule="exact"/>
              <w:ind w:left="-84" w:leftChars="-40" w:right="-84" w:rightChars="-40"/>
              <w:jc w:val="center"/>
              <w:rPr>
                <w:rFonts w:cs="宋体" w:asciiTheme="minorEastAsia" w:hAnsiTheme="minorEastAsia" w:eastAsiaTheme="minorEastAsia"/>
                <w:sz w:val="24"/>
                <w:szCs w:val="24"/>
                <w:highlight w:val="none"/>
              </w:rPr>
            </w:pPr>
            <w:r>
              <w:rPr>
                <w:rFonts w:hint="eastAsia" w:cs="宋体" w:asciiTheme="minorEastAsia" w:hAnsiTheme="minorEastAsia" w:eastAsiaTheme="minorEastAsia"/>
                <w:sz w:val="24"/>
                <w:szCs w:val="24"/>
                <w:highlight w:val="none"/>
              </w:rPr>
              <w:t>发布</w:t>
            </w:r>
          </w:p>
        </w:tc>
        <w:tc>
          <w:tcPr>
            <w:tcW w:w="6379" w:type="dxa"/>
            <w:shd w:val="clear" w:color="auto" w:fill="auto"/>
          </w:tcPr>
          <w:p>
            <w:pPr>
              <w:topLinePunct/>
              <w:spacing w:line="360" w:lineRule="exact"/>
              <w:rPr>
                <w:rFonts w:cs="宋体" w:asciiTheme="minorEastAsia" w:hAnsiTheme="minorEastAsia" w:eastAsiaTheme="minorEastAsia"/>
                <w:b/>
                <w:sz w:val="24"/>
                <w:szCs w:val="24"/>
                <w:highlight w:val="none"/>
              </w:rPr>
            </w:pPr>
            <w:r>
              <w:rPr>
                <w:rFonts w:hint="eastAsia" w:cs="宋体" w:asciiTheme="minorEastAsia" w:hAnsiTheme="minorEastAsia" w:eastAsiaTheme="minorEastAsia"/>
                <w:b/>
                <w:sz w:val="24"/>
                <w:szCs w:val="24"/>
                <w:highlight w:val="none"/>
              </w:rPr>
              <w:t>采购人、采购代理机构对已发出的招标文件进行澄清或者修改，在</w:t>
            </w:r>
            <w:r>
              <w:rPr>
                <w:rFonts w:hint="eastAsia" w:cs="宋体" w:asciiTheme="minorEastAsia" w:hAnsiTheme="minorEastAsia" w:eastAsiaTheme="minorEastAsia"/>
                <w:b/>
                <w:sz w:val="24"/>
                <w:szCs w:val="24"/>
                <w:highlight w:val="none"/>
                <w:lang w:val="en-US" w:eastAsia="zh-CN"/>
              </w:rPr>
              <w:t>眉山市政府采购网、四川政府采购网</w:t>
            </w:r>
            <w:r>
              <w:rPr>
                <w:rFonts w:hint="eastAsia" w:cs="宋体" w:asciiTheme="minorEastAsia" w:hAnsiTheme="minorEastAsia" w:eastAsiaTheme="minorEastAsia"/>
                <w:b/>
                <w:sz w:val="24"/>
                <w:szCs w:val="24"/>
                <w:highlight w:val="none"/>
                <w:lang w:val="zh-CN" w:eastAsia="zh-CN"/>
              </w:rPr>
              <w:t>(http://www.ccgp-sichuan.gov.cn)、四川中岚工程项目管理有限公司官网（http://www.sczlgl.com）</w:t>
            </w:r>
            <w:r>
              <w:rPr>
                <w:rFonts w:hint="eastAsia" w:cs="宋体" w:asciiTheme="minorEastAsia" w:hAnsiTheme="minorEastAsia" w:eastAsiaTheme="minorEastAsia"/>
                <w:b/>
                <w:sz w:val="24"/>
                <w:szCs w:val="24"/>
                <w:highlight w:val="none"/>
              </w:rPr>
              <w:t>发布澄清公告。投标人应随时关注项目进度，不按本要求在规定的时间和网址查看澄清公告所造成的各种后果，由投标人自行负责。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7" w:type="dxa"/>
            <w:shd w:val="clear" w:color="auto" w:fill="auto"/>
            <w:vAlign w:val="center"/>
          </w:tcPr>
          <w:p>
            <w:pPr>
              <w:topLinePunct/>
              <w:spacing w:line="360" w:lineRule="exact"/>
              <w:jc w:val="center"/>
              <w:rPr>
                <w:rFonts w:hint="default" w:cs="宋体" w:asciiTheme="minorEastAsia" w:hAnsiTheme="minorEastAsia" w:eastAsiaTheme="minorEastAsia"/>
                <w:sz w:val="24"/>
                <w:szCs w:val="24"/>
                <w:highlight w:val="none"/>
                <w:lang w:val="en-US" w:eastAsia="zh-CN"/>
              </w:rPr>
            </w:pPr>
            <w:r>
              <w:rPr>
                <w:rFonts w:hint="eastAsia" w:cs="宋体" w:asciiTheme="minorEastAsia" w:hAnsiTheme="minorEastAsia" w:eastAsiaTheme="minorEastAsia"/>
                <w:sz w:val="24"/>
                <w:szCs w:val="24"/>
                <w:highlight w:val="none"/>
                <w:lang w:val="en-US" w:eastAsia="zh-CN"/>
              </w:rPr>
              <w:t>28</w:t>
            </w:r>
          </w:p>
        </w:tc>
        <w:tc>
          <w:tcPr>
            <w:tcW w:w="1559" w:type="dxa"/>
            <w:shd w:val="clear" w:color="auto" w:fill="auto"/>
            <w:vAlign w:val="center"/>
          </w:tcPr>
          <w:p>
            <w:pPr>
              <w:topLinePunct/>
              <w:spacing w:line="360" w:lineRule="exact"/>
              <w:ind w:left="-84" w:leftChars="-40" w:right="-84" w:rightChars="-40"/>
              <w:jc w:val="center"/>
              <w:rPr>
                <w:rFonts w:cs="宋体" w:asciiTheme="minorEastAsia" w:hAnsiTheme="minorEastAsia" w:eastAsiaTheme="minorEastAsia"/>
                <w:color w:val="auto"/>
                <w:sz w:val="24"/>
                <w:szCs w:val="24"/>
                <w:highlight w:val="none"/>
              </w:rPr>
            </w:pPr>
            <w:r>
              <w:rPr>
                <w:rFonts w:hint="eastAsia" w:cs="宋体" w:asciiTheme="minorEastAsia" w:hAnsiTheme="minorEastAsia" w:eastAsiaTheme="minorEastAsia"/>
                <w:color w:val="auto"/>
                <w:sz w:val="24"/>
                <w:szCs w:val="24"/>
                <w:highlight w:val="none"/>
              </w:rPr>
              <w:t>项目分包</w:t>
            </w:r>
          </w:p>
        </w:tc>
        <w:tc>
          <w:tcPr>
            <w:tcW w:w="6379" w:type="dxa"/>
            <w:shd w:val="clear" w:color="auto" w:fill="auto"/>
          </w:tcPr>
          <w:p>
            <w:pPr>
              <w:topLinePunct/>
              <w:spacing w:line="360" w:lineRule="exact"/>
              <w:rPr>
                <w:rFonts w:cs="宋体" w:asciiTheme="minorEastAsia" w:hAnsiTheme="minorEastAsia" w:eastAsiaTheme="minorEastAsia"/>
                <w:color w:val="auto"/>
                <w:sz w:val="24"/>
                <w:szCs w:val="24"/>
                <w:highlight w:val="none"/>
              </w:rPr>
            </w:pPr>
            <w:bookmarkStart w:id="11" w:name="EB17460fb2d53244729aa63495a07e8cc9"/>
            <w:r>
              <w:rPr>
                <w:rFonts w:hint="eastAsia" w:hAnsi="MS Mincho" w:eastAsia="MS Mincho" w:cs="MS Mincho" w:asciiTheme="minorEastAsia"/>
                <w:color w:val="auto"/>
                <w:sz w:val="24"/>
                <w:szCs w:val="24"/>
                <w:highlight w:val="none"/>
              </w:rPr>
              <w:t>☑</w:t>
            </w:r>
            <w:r>
              <w:rPr>
                <w:rFonts w:hint="eastAsia" w:cs="宋体" w:asciiTheme="minorEastAsia" w:hAnsiTheme="minorEastAsia" w:eastAsiaTheme="minorEastAsia"/>
                <w:color w:val="auto"/>
                <w:sz w:val="24"/>
                <w:szCs w:val="24"/>
                <w:highlight w:val="none"/>
              </w:rPr>
              <w:t>不允许</w:t>
            </w:r>
            <w:bookmarkEnd w:id="11"/>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7" w:type="dxa"/>
            <w:shd w:val="clear" w:color="auto" w:fill="auto"/>
            <w:vAlign w:val="center"/>
          </w:tcPr>
          <w:p>
            <w:pPr>
              <w:topLinePunct/>
              <w:spacing w:line="360" w:lineRule="exact"/>
              <w:jc w:val="center"/>
              <w:rPr>
                <w:rFonts w:hint="default" w:cs="宋体" w:asciiTheme="minorEastAsia" w:hAnsiTheme="minorEastAsia" w:eastAsiaTheme="minorEastAsia"/>
                <w:sz w:val="24"/>
                <w:szCs w:val="24"/>
                <w:highlight w:val="none"/>
                <w:lang w:val="en-US" w:eastAsia="zh-CN"/>
              </w:rPr>
            </w:pPr>
            <w:r>
              <w:rPr>
                <w:rFonts w:hint="eastAsia" w:cs="宋体" w:asciiTheme="minorEastAsia" w:hAnsiTheme="minorEastAsia" w:eastAsiaTheme="minorEastAsia"/>
                <w:sz w:val="24"/>
                <w:szCs w:val="24"/>
                <w:highlight w:val="none"/>
                <w:lang w:val="en-US" w:eastAsia="zh-CN"/>
              </w:rPr>
              <w:t>29</w:t>
            </w:r>
          </w:p>
        </w:tc>
        <w:tc>
          <w:tcPr>
            <w:tcW w:w="1559" w:type="dxa"/>
            <w:shd w:val="clear" w:color="auto" w:fill="auto"/>
            <w:vAlign w:val="center"/>
          </w:tcPr>
          <w:p>
            <w:pPr>
              <w:topLinePunct/>
              <w:spacing w:line="360" w:lineRule="exact"/>
              <w:ind w:left="-84" w:leftChars="-40" w:right="-84" w:rightChars="-40"/>
              <w:jc w:val="center"/>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共同编制</w:t>
            </w:r>
          </w:p>
        </w:tc>
        <w:tc>
          <w:tcPr>
            <w:tcW w:w="6379" w:type="dxa"/>
            <w:shd w:val="clear" w:color="auto" w:fill="auto"/>
            <w:vAlign w:val="center"/>
          </w:tcPr>
          <w:p>
            <w:pPr>
              <w:topLinePunct/>
              <w:spacing w:line="360" w:lineRule="exact"/>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本文件由采购人和采购代理机构共同编制，各自承担招标文件相关内容责任。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7" w:type="dxa"/>
            <w:shd w:val="clear" w:color="auto" w:fill="auto"/>
            <w:vAlign w:val="center"/>
          </w:tcPr>
          <w:p>
            <w:pPr>
              <w:topLinePunct/>
              <w:spacing w:line="360" w:lineRule="exact"/>
              <w:jc w:val="center"/>
              <w:rPr>
                <w:rFonts w:hint="default" w:cs="宋体" w:asciiTheme="minorEastAsia" w:hAnsiTheme="minorEastAsia" w:eastAsiaTheme="minorEastAsia"/>
                <w:sz w:val="24"/>
                <w:szCs w:val="24"/>
                <w:highlight w:val="none"/>
                <w:lang w:val="en-US" w:eastAsia="zh-CN"/>
              </w:rPr>
            </w:pPr>
            <w:r>
              <w:rPr>
                <w:rFonts w:hint="eastAsia" w:cs="宋体" w:asciiTheme="minorEastAsia" w:hAnsiTheme="minorEastAsia" w:eastAsiaTheme="minorEastAsia"/>
                <w:sz w:val="24"/>
                <w:szCs w:val="24"/>
                <w:highlight w:val="none"/>
                <w:lang w:val="en-US" w:eastAsia="zh-CN"/>
              </w:rPr>
              <w:t>30</w:t>
            </w:r>
          </w:p>
        </w:tc>
        <w:tc>
          <w:tcPr>
            <w:tcW w:w="1559" w:type="dxa"/>
            <w:shd w:val="clear" w:color="auto" w:fill="auto"/>
            <w:vAlign w:val="center"/>
          </w:tcPr>
          <w:p>
            <w:pPr>
              <w:topLinePunct/>
              <w:spacing w:line="360" w:lineRule="exact"/>
              <w:ind w:left="-84" w:leftChars="-40" w:right="-84" w:rightChars="-40"/>
              <w:jc w:val="center"/>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投标产品要求</w:t>
            </w:r>
          </w:p>
        </w:tc>
        <w:tc>
          <w:tcPr>
            <w:tcW w:w="6379" w:type="dxa"/>
            <w:shd w:val="clear" w:color="auto" w:fill="auto"/>
            <w:vAlign w:val="center"/>
          </w:tcPr>
          <w:p>
            <w:pPr>
              <w:topLinePunct/>
              <w:spacing w:line="360" w:lineRule="exact"/>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投标人应保证所提供货物是全新的，未使用过的，完全符合招标文件中的质量、技术要求，并符合国家规定的相关质量标准，在招标文件没有其他要求时，投标人须按照国家“三包”规定进行后续服务。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3" w:hRule="atLeast"/>
        </w:trPr>
        <w:tc>
          <w:tcPr>
            <w:tcW w:w="817" w:type="dxa"/>
            <w:shd w:val="clear" w:color="auto" w:fill="auto"/>
            <w:vAlign w:val="center"/>
          </w:tcPr>
          <w:p>
            <w:pPr>
              <w:topLinePunct/>
              <w:spacing w:line="360" w:lineRule="exact"/>
              <w:jc w:val="center"/>
              <w:rPr>
                <w:rFonts w:hint="default" w:cs="宋体" w:asciiTheme="minorEastAsia" w:hAnsiTheme="minorEastAsia" w:eastAsiaTheme="minorEastAsia"/>
                <w:sz w:val="24"/>
                <w:szCs w:val="24"/>
                <w:highlight w:val="none"/>
                <w:lang w:val="en-US" w:eastAsia="zh-CN"/>
              </w:rPr>
            </w:pPr>
            <w:r>
              <w:rPr>
                <w:rFonts w:hint="eastAsia" w:cs="宋体" w:asciiTheme="minorEastAsia" w:hAnsiTheme="minorEastAsia" w:eastAsiaTheme="minorEastAsia"/>
                <w:sz w:val="24"/>
                <w:szCs w:val="24"/>
                <w:highlight w:val="none"/>
                <w:lang w:val="en-US" w:eastAsia="zh-CN"/>
              </w:rPr>
              <w:t>31</w:t>
            </w:r>
          </w:p>
        </w:tc>
        <w:tc>
          <w:tcPr>
            <w:tcW w:w="1559" w:type="dxa"/>
            <w:shd w:val="clear" w:color="auto" w:fill="auto"/>
            <w:vAlign w:val="center"/>
          </w:tcPr>
          <w:p>
            <w:pPr>
              <w:topLinePunct/>
              <w:spacing w:line="360" w:lineRule="exact"/>
              <w:ind w:left="-84" w:leftChars="-40" w:right="-84" w:rightChars="-40"/>
              <w:jc w:val="center"/>
              <w:rPr>
                <w:rFonts w:asciiTheme="minorEastAsia" w:hAnsiTheme="minorEastAsia" w:eastAsiaTheme="minorEastAsia"/>
                <w:color w:val="auto"/>
                <w:sz w:val="24"/>
                <w:szCs w:val="24"/>
                <w:highlight w:val="none"/>
              </w:rPr>
            </w:pPr>
            <w:r>
              <w:rPr>
                <w:rFonts w:hint="eastAsia" w:asciiTheme="minorEastAsia" w:hAnsiTheme="minorEastAsia" w:eastAsiaTheme="minorEastAsia"/>
                <w:color w:val="auto"/>
                <w:sz w:val="24"/>
                <w:szCs w:val="24"/>
                <w:highlight w:val="none"/>
              </w:rPr>
              <w:t>采购进口产品</w:t>
            </w:r>
          </w:p>
        </w:tc>
        <w:tc>
          <w:tcPr>
            <w:tcW w:w="6379" w:type="dxa"/>
            <w:shd w:val="clear" w:color="auto" w:fill="auto"/>
            <w:vAlign w:val="center"/>
          </w:tcPr>
          <w:p>
            <w:pPr>
              <w:topLinePunct/>
              <w:spacing w:line="360" w:lineRule="exact"/>
              <w:rPr>
                <w:rFonts w:asciiTheme="minorEastAsia" w:hAnsiTheme="minorEastAsia" w:eastAsiaTheme="minorEastAsia"/>
                <w:color w:val="auto"/>
                <w:sz w:val="24"/>
                <w:szCs w:val="24"/>
                <w:highlight w:val="none"/>
              </w:rPr>
            </w:pPr>
            <w:bookmarkStart w:id="12" w:name="EB18ec530929b1431284a24b78a48fb40c"/>
            <w:r>
              <w:rPr>
                <w:rFonts w:hint="eastAsia" w:hAnsi="MS Mincho" w:eastAsia="MS Mincho" w:cs="MS Mincho" w:asciiTheme="minorEastAsia"/>
                <w:color w:val="auto"/>
                <w:sz w:val="24"/>
                <w:szCs w:val="24"/>
                <w:highlight w:val="none"/>
              </w:rPr>
              <w:t>☑</w:t>
            </w:r>
            <w:r>
              <w:rPr>
                <w:rFonts w:hint="eastAsia" w:cs="宋体" w:asciiTheme="minorEastAsia" w:hAnsiTheme="minorEastAsia" w:eastAsiaTheme="minorEastAsia"/>
                <w:color w:val="auto"/>
                <w:sz w:val="24"/>
                <w:szCs w:val="24"/>
                <w:highlight w:val="none"/>
              </w:rPr>
              <w:t>本项目拒绝进口产品参加投标</w:t>
            </w:r>
            <w:bookmarkEnd w:id="12"/>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7" w:type="dxa"/>
            <w:shd w:val="clear" w:color="auto" w:fill="auto"/>
            <w:vAlign w:val="center"/>
          </w:tcPr>
          <w:p>
            <w:pPr>
              <w:topLinePunct/>
              <w:spacing w:line="360" w:lineRule="exact"/>
              <w:jc w:val="center"/>
              <w:rPr>
                <w:rFonts w:hint="default" w:cs="宋体" w:asciiTheme="minorEastAsia" w:hAnsiTheme="minorEastAsia" w:eastAsiaTheme="minorEastAsia"/>
                <w:sz w:val="24"/>
                <w:szCs w:val="24"/>
                <w:highlight w:val="none"/>
                <w:lang w:val="en-US" w:eastAsia="zh-CN"/>
              </w:rPr>
            </w:pPr>
            <w:r>
              <w:rPr>
                <w:rFonts w:hint="eastAsia" w:cs="宋体" w:asciiTheme="minorEastAsia" w:hAnsiTheme="minorEastAsia" w:eastAsiaTheme="minorEastAsia"/>
                <w:sz w:val="24"/>
                <w:szCs w:val="24"/>
                <w:highlight w:val="none"/>
                <w:lang w:val="en-US" w:eastAsia="zh-CN"/>
              </w:rPr>
              <w:t>32</w:t>
            </w:r>
          </w:p>
        </w:tc>
        <w:tc>
          <w:tcPr>
            <w:tcW w:w="1559" w:type="dxa"/>
            <w:shd w:val="clear" w:color="auto" w:fill="auto"/>
            <w:vAlign w:val="center"/>
          </w:tcPr>
          <w:p>
            <w:pPr>
              <w:topLinePunct/>
              <w:spacing w:line="360" w:lineRule="exact"/>
              <w:ind w:left="-84" w:leftChars="-40" w:right="-84" w:rightChars="-40"/>
              <w:jc w:val="center"/>
              <w:rPr>
                <w:rFonts w:cs="宋体" w:asciiTheme="minorEastAsia" w:hAnsiTheme="minorEastAsia" w:eastAsiaTheme="minorEastAsia"/>
                <w:color w:val="auto"/>
                <w:sz w:val="24"/>
                <w:szCs w:val="24"/>
                <w:highlight w:val="none"/>
              </w:rPr>
            </w:pPr>
            <w:r>
              <w:rPr>
                <w:rFonts w:hint="eastAsia" w:cs="宋体" w:asciiTheme="minorEastAsia" w:hAnsiTheme="minorEastAsia" w:eastAsiaTheme="minorEastAsia"/>
                <w:color w:val="auto"/>
                <w:sz w:val="24"/>
                <w:szCs w:val="24"/>
                <w:highlight w:val="none"/>
              </w:rPr>
              <w:t>政府购买服务项目</w:t>
            </w:r>
          </w:p>
        </w:tc>
        <w:tc>
          <w:tcPr>
            <w:tcW w:w="6379" w:type="dxa"/>
            <w:shd w:val="clear" w:color="auto" w:fill="auto"/>
            <w:vAlign w:val="center"/>
          </w:tcPr>
          <w:p>
            <w:pPr>
              <w:topLinePunct/>
              <w:spacing w:line="360" w:lineRule="exact"/>
              <w:rPr>
                <w:rFonts w:cs="宋体" w:asciiTheme="minorEastAsia" w:hAnsiTheme="minorEastAsia" w:eastAsiaTheme="minorEastAsia"/>
                <w:color w:val="auto"/>
                <w:sz w:val="24"/>
                <w:szCs w:val="24"/>
                <w:highlight w:val="none"/>
              </w:rPr>
            </w:pPr>
            <w:r>
              <w:rPr>
                <w:rFonts w:hint="eastAsia" w:hAnsi="MS Mincho" w:eastAsia="MS Mincho" w:cs="MS Mincho" w:asciiTheme="minorEastAsia"/>
                <w:color w:val="auto"/>
                <w:sz w:val="24"/>
                <w:szCs w:val="24"/>
                <w:highlight w:val="none"/>
              </w:rPr>
              <w:t>☑</w:t>
            </w:r>
            <w:r>
              <w:rPr>
                <w:rFonts w:hint="eastAsia" w:cs="宋体" w:asciiTheme="minorEastAsia" w:hAnsiTheme="minorEastAsia" w:eastAsiaTheme="minorEastAsia"/>
                <w:color w:val="auto"/>
                <w:sz w:val="24"/>
                <w:szCs w:val="24"/>
                <w:highlight w:val="none"/>
              </w:rPr>
              <w:t xml:space="preserve"> 否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2" w:hRule="atLeast"/>
        </w:trPr>
        <w:tc>
          <w:tcPr>
            <w:tcW w:w="817" w:type="dxa"/>
            <w:shd w:val="clear" w:color="auto" w:fill="auto"/>
            <w:vAlign w:val="center"/>
          </w:tcPr>
          <w:p>
            <w:pPr>
              <w:topLinePunct/>
              <w:spacing w:line="360" w:lineRule="exact"/>
              <w:jc w:val="center"/>
              <w:rPr>
                <w:rFonts w:hint="default" w:cs="宋体" w:asciiTheme="minorEastAsia" w:hAnsiTheme="minorEastAsia" w:eastAsiaTheme="minorEastAsia"/>
                <w:sz w:val="24"/>
                <w:szCs w:val="24"/>
                <w:highlight w:val="none"/>
                <w:lang w:val="en-US" w:eastAsia="zh-CN"/>
              </w:rPr>
            </w:pPr>
            <w:r>
              <w:rPr>
                <w:rFonts w:hint="eastAsia" w:cs="宋体" w:asciiTheme="minorEastAsia" w:hAnsiTheme="minorEastAsia" w:eastAsiaTheme="minorEastAsia"/>
                <w:sz w:val="24"/>
                <w:szCs w:val="24"/>
                <w:highlight w:val="none"/>
                <w:lang w:val="en-US" w:eastAsia="zh-CN"/>
              </w:rPr>
              <w:t>33</w:t>
            </w:r>
          </w:p>
        </w:tc>
        <w:tc>
          <w:tcPr>
            <w:tcW w:w="1559" w:type="dxa"/>
            <w:shd w:val="clear" w:color="auto" w:fill="auto"/>
            <w:vAlign w:val="center"/>
          </w:tcPr>
          <w:p>
            <w:pPr>
              <w:topLinePunct/>
              <w:spacing w:line="360" w:lineRule="exact"/>
              <w:ind w:left="-84" w:leftChars="-40" w:right="-84" w:rightChars="-40"/>
              <w:jc w:val="center"/>
              <w:rPr>
                <w:rFonts w:cs="宋体" w:asciiTheme="minorEastAsia" w:hAnsiTheme="minorEastAsia" w:eastAsiaTheme="minorEastAsia"/>
                <w:sz w:val="24"/>
                <w:szCs w:val="24"/>
                <w:highlight w:val="none"/>
              </w:rPr>
            </w:pPr>
            <w:r>
              <w:rPr>
                <w:rFonts w:hint="eastAsia" w:cs="宋体" w:asciiTheme="minorEastAsia" w:hAnsiTheme="minorEastAsia" w:eastAsiaTheme="minorEastAsia"/>
                <w:sz w:val="24"/>
                <w:szCs w:val="24"/>
                <w:highlight w:val="none"/>
              </w:rPr>
              <w:t>招标代理费用的收取标准和方式</w:t>
            </w:r>
          </w:p>
        </w:tc>
        <w:tc>
          <w:tcPr>
            <w:tcW w:w="6379" w:type="dxa"/>
            <w:shd w:val="clear" w:color="auto" w:fill="auto"/>
            <w:vAlign w:val="center"/>
          </w:tcPr>
          <w:p>
            <w:pPr>
              <w:topLinePunct/>
              <w:spacing w:line="360" w:lineRule="exact"/>
              <w:rPr>
                <w:rFonts w:hint="default" w:cs="宋体" w:asciiTheme="minorEastAsia" w:hAnsiTheme="minorEastAsia" w:eastAsiaTheme="minorEastAsia"/>
                <w:sz w:val="24"/>
                <w:szCs w:val="24"/>
                <w:highlight w:val="none"/>
                <w:lang w:val="en-US" w:eastAsia="zh-CN"/>
              </w:rPr>
            </w:pPr>
            <w:r>
              <w:rPr>
                <w:rFonts w:hint="eastAsia" w:cs="宋体" w:asciiTheme="minorEastAsia" w:hAnsiTheme="minorEastAsia" w:eastAsiaTheme="minorEastAsia"/>
                <w:sz w:val="24"/>
                <w:szCs w:val="24"/>
                <w:highlight w:val="none"/>
              </w:rPr>
              <w:t>根据《关于眉山市财政局严格政府采购执行有关事项的通知眉财采[2021]11号》文件要求，按照拟代理采购项目的成本支出加合理利润的原则确认</w:t>
            </w:r>
            <w:r>
              <w:rPr>
                <w:rFonts w:hint="eastAsia" w:cs="宋体" w:asciiTheme="minorEastAsia" w:hAnsiTheme="minorEastAsia" w:eastAsiaTheme="minorEastAsia"/>
                <w:sz w:val="24"/>
                <w:szCs w:val="24"/>
                <w:highlight w:val="none"/>
                <w:lang w:val="en-US" w:eastAsia="zh-CN"/>
              </w:rPr>
              <w:t>为</w:t>
            </w:r>
            <w:r>
              <w:rPr>
                <w:rFonts w:hint="eastAsia" w:cs="宋体" w:asciiTheme="minorEastAsia" w:hAnsiTheme="minorEastAsia" w:eastAsiaTheme="minorEastAsia"/>
                <w:sz w:val="24"/>
                <w:szCs w:val="24"/>
                <w:highlight w:val="none"/>
                <w:u w:val="single"/>
              </w:rPr>
              <w:t>人民币</w:t>
            </w:r>
            <w:r>
              <w:rPr>
                <w:rFonts w:hint="eastAsia" w:cs="宋体" w:asciiTheme="minorEastAsia" w:hAnsiTheme="minorEastAsia" w:eastAsiaTheme="minorEastAsia"/>
                <w:sz w:val="24"/>
                <w:szCs w:val="24"/>
                <w:highlight w:val="none"/>
                <w:u w:val="single"/>
                <w:lang w:val="en-US" w:eastAsia="zh-CN"/>
              </w:rPr>
              <w:t>46000</w:t>
            </w:r>
            <w:r>
              <w:rPr>
                <w:rFonts w:hint="eastAsia" w:cs="宋体" w:asciiTheme="minorEastAsia" w:hAnsiTheme="minorEastAsia" w:eastAsiaTheme="minorEastAsia"/>
                <w:sz w:val="24"/>
                <w:szCs w:val="24"/>
                <w:highlight w:val="none"/>
                <w:u w:val="single"/>
              </w:rPr>
              <w:t>.00元（</w:t>
            </w:r>
            <w:r>
              <w:rPr>
                <w:rFonts w:hint="eastAsia" w:cs="宋体" w:asciiTheme="minorEastAsia" w:hAnsiTheme="minorEastAsia" w:eastAsiaTheme="minorEastAsia"/>
                <w:sz w:val="24"/>
                <w:szCs w:val="24"/>
                <w:highlight w:val="none"/>
                <w:u w:val="single"/>
                <w:lang w:val="en-US" w:eastAsia="zh-CN"/>
              </w:rPr>
              <w:t>肆万陆仟元整</w:t>
            </w:r>
            <w:r>
              <w:rPr>
                <w:rFonts w:hint="eastAsia" w:cs="宋体" w:asciiTheme="minorEastAsia" w:hAnsiTheme="minorEastAsia" w:eastAsiaTheme="minorEastAsia"/>
                <w:sz w:val="24"/>
                <w:szCs w:val="24"/>
                <w:highlight w:val="none"/>
                <w:u w:val="single"/>
              </w:rPr>
              <w:t>）</w:t>
            </w:r>
            <w:r>
              <w:rPr>
                <w:rFonts w:hint="eastAsia" w:cs="宋体" w:asciiTheme="minorEastAsia" w:hAnsiTheme="minorEastAsia" w:eastAsiaTheme="minorEastAsia"/>
                <w:sz w:val="24"/>
                <w:szCs w:val="24"/>
                <w:highlight w:val="none"/>
                <w:u w:val="none"/>
                <w:lang w:eastAsia="zh-CN"/>
              </w:rPr>
              <w:t>，</w:t>
            </w:r>
            <w:r>
              <w:rPr>
                <w:rFonts w:hint="eastAsia" w:cs="宋体" w:asciiTheme="minorEastAsia" w:hAnsiTheme="minorEastAsia" w:eastAsiaTheme="minorEastAsia"/>
                <w:sz w:val="24"/>
                <w:szCs w:val="24"/>
                <w:highlight w:val="none"/>
                <w:u w:val="none"/>
                <w:lang w:val="en-US" w:eastAsia="zh-CN"/>
              </w:rPr>
              <w:t>由中标人在领取中标通知书时一次性支付。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52" w:hRule="atLeast"/>
        </w:trPr>
        <w:tc>
          <w:tcPr>
            <w:tcW w:w="817" w:type="dxa"/>
            <w:tcBorders>
              <w:bottom w:val="single" w:color="auto" w:sz="4" w:space="0"/>
            </w:tcBorders>
            <w:shd w:val="clear" w:color="auto" w:fill="auto"/>
            <w:vAlign w:val="center"/>
          </w:tcPr>
          <w:p>
            <w:pPr>
              <w:topLinePunct/>
              <w:spacing w:line="360" w:lineRule="exact"/>
              <w:jc w:val="center"/>
              <w:rPr>
                <w:rFonts w:hint="default" w:cs="宋体" w:asciiTheme="minorEastAsia" w:hAnsiTheme="minorEastAsia" w:eastAsiaTheme="minorEastAsia"/>
                <w:sz w:val="24"/>
                <w:szCs w:val="24"/>
                <w:highlight w:val="none"/>
                <w:lang w:val="en-US" w:eastAsia="zh-CN"/>
              </w:rPr>
            </w:pPr>
            <w:r>
              <w:rPr>
                <w:rFonts w:hint="eastAsia" w:cs="宋体" w:asciiTheme="minorEastAsia" w:hAnsiTheme="minorEastAsia" w:eastAsiaTheme="minorEastAsia"/>
                <w:sz w:val="24"/>
                <w:szCs w:val="24"/>
                <w:highlight w:val="none"/>
                <w:lang w:val="en-US" w:eastAsia="zh-CN"/>
              </w:rPr>
              <w:t>34</w:t>
            </w:r>
          </w:p>
        </w:tc>
        <w:tc>
          <w:tcPr>
            <w:tcW w:w="1559" w:type="dxa"/>
            <w:tcBorders>
              <w:bottom w:val="single" w:color="auto" w:sz="4" w:space="0"/>
            </w:tcBorders>
            <w:shd w:val="clear" w:color="auto" w:fill="auto"/>
            <w:vAlign w:val="center"/>
          </w:tcPr>
          <w:p>
            <w:pPr>
              <w:topLinePunct/>
              <w:spacing w:line="360" w:lineRule="exact"/>
              <w:ind w:left="-84" w:leftChars="-40" w:right="-84" w:rightChars="-40"/>
              <w:jc w:val="center"/>
              <w:rPr>
                <w:rFonts w:cs="宋体" w:asciiTheme="minorEastAsia" w:hAnsiTheme="minorEastAsia" w:eastAsiaTheme="minorEastAsia"/>
                <w:sz w:val="24"/>
                <w:szCs w:val="24"/>
                <w:highlight w:val="none"/>
                <w:lang w:val="zh-CN"/>
              </w:rPr>
            </w:pPr>
            <w:r>
              <w:rPr>
                <w:rFonts w:hint="eastAsia" w:cs="宋体" w:asciiTheme="minorEastAsia" w:hAnsiTheme="minorEastAsia" w:eastAsiaTheme="minorEastAsia"/>
                <w:sz w:val="24"/>
                <w:szCs w:val="24"/>
                <w:highlight w:val="none"/>
                <w:lang w:val="zh-CN"/>
              </w:rPr>
              <w:t>执行文件的</w:t>
            </w:r>
          </w:p>
          <w:p>
            <w:pPr>
              <w:topLinePunct/>
              <w:spacing w:line="360" w:lineRule="exact"/>
              <w:ind w:left="-84" w:leftChars="-40" w:right="-84" w:rightChars="-40"/>
              <w:jc w:val="center"/>
              <w:rPr>
                <w:rFonts w:cs="宋体" w:asciiTheme="minorEastAsia" w:hAnsiTheme="minorEastAsia" w:eastAsiaTheme="minorEastAsia"/>
                <w:sz w:val="24"/>
                <w:szCs w:val="24"/>
                <w:highlight w:val="none"/>
              </w:rPr>
            </w:pPr>
            <w:r>
              <w:rPr>
                <w:rFonts w:hint="eastAsia" w:cs="宋体" w:asciiTheme="minorEastAsia" w:hAnsiTheme="minorEastAsia" w:eastAsiaTheme="minorEastAsia"/>
                <w:sz w:val="24"/>
                <w:szCs w:val="24"/>
                <w:highlight w:val="none"/>
                <w:lang w:val="zh-CN"/>
              </w:rPr>
              <w:t>要求</w:t>
            </w:r>
          </w:p>
        </w:tc>
        <w:tc>
          <w:tcPr>
            <w:tcW w:w="6379" w:type="dxa"/>
            <w:tcBorders>
              <w:bottom w:val="single" w:color="auto" w:sz="4" w:space="0"/>
            </w:tcBorders>
            <w:shd w:val="clear" w:color="auto" w:fill="auto"/>
            <w:vAlign w:val="center"/>
          </w:tcPr>
          <w:p>
            <w:pPr>
              <w:topLinePunct/>
              <w:spacing w:line="360" w:lineRule="exact"/>
              <w:rPr>
                <w:rFonts w:cs="宋体" w:asciiTheme="minorEastAsia" w:hAnsiTheme="minorEastAsia" w:eastAsiaTheme="minorEastAsia"/>
                <w:sz w:val="24"/>
                <w:szCs w:val="24"/>
                <w:highlight w:val="none"/>
              </w:rPr>
            </w:pPr>
            <w:r>
              <w:rPr>
                <w:rFonts w:hint="eastAsia" w:cs="宋体" w:asciiTheme="minorEastAsia" w:hAnsiTheme="minorEastAsia" w:eastAsiaTheme="minorEastAsia"/>
                <w:sz w:val="24"/>
                <w:szCs w:val="24"/>
                <w:highlight w:val="none"/>
              </w:rPr>
              <w:t>项目废标后，根据《政府采购非招标采购方式管理办法》(财政部令第74号)第二十七条之规定，</w:t>
            </w:r>
            <w:r>
              <w:rPr>
                <w:rFonts w:hint="eastAsia" w:cs="宋体" w:asciiTheme="minorEastAsia" w:hAnsiTheme="minorEastAsia" w:eastAsiaTheme="minorEastAsia"/>
                <w:b/>
                <w:sz w:val="24"/>
                <w:szCs w:val="24"/>
                <w:highlight w:val="none"/>
              </w:rPr>
              <w:t>项目在招标过程中若出现提交有效投标文件或者经评审实质性响应招标文件要求的供应商只有两家时，采购人可以按程序报经财政部门批准后转为与该两家供应商进行竞争性谈判采购。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9" w:hRule="atLeast"/>
        </w:trPr>
        <w:tc>
          <w:tcPr>
            <w:tcW w:w="817" w:type="dxa"/>
            <w:tcBorders>
              <w:top w:val="single" w:color="auto" w:sz="4" w:space="0"/>
              <w:bottom w:val="single" w:color="auto" w:sz="4" w:space="0"/>
            </w:tcBorders>
            <w:shd w:val="clear" w:color="auto" w:fill="auto"/>
            <w:vAlign w:val="center"/>
          </w:tcPr>
          <w:p>
            <w:pPr>
              <w:topLinePunct/>
              <w:spacing w:line="360" w:lineRule="exact"/>
              <w:jc w:val="center"/>
              <w:rPr>
                <w:rFonts w:hint="default" w:cs="宋体" w:asciiTheme="minorEastAsia" w:hAnsiTheme="minorEastAsia" w:eastAsiaTheme="minorEastAsia"/>
                <w:sz w:val="24"/>
                <w:szCs w:val="24"/>
                <w:highlight w:val="none"/>
                <w:lang w:val="en-US" w:eastAsia="zh-CN"/>
              </w:rPr>
            </w:pPr>
            <w:r>
              <w:rPr>
                <w:rFonts w:hint="eastAsia" w:cs="宋体" w:asciiTheme="minorEastAsia" w:hAnsiTheme="minorEastAsia" w:eastAsiaTheme="minorEastAsia"/>
                <w:sz w:val="24"/>
                <w:szCs w:val="24"/>
                <w:highlight w:val="none"/>
                <w:lang w:val="en-US" w:eastAsia="zh-CN"/>
              </w:rPr>
              <w:t>35</w:t>
            </w:r>
          </w:p>
        </w:tc>
        <w:tc>
          <w:tcPr>
            <w:tcW w:w="1559" w:type="dxa"/>
            <w:tcBorders>
              <w:top w:val="single" w:color="auto" w:sz="4" w:space="0"/>
              <w:bottom w:val="single" w:color="auto" w:sz="4" w:space="0"/>
            </w:tcBorders>
            <w:shd w:val="clear" w:color="auto" w:fill="auto"/>
            <w:vAlign w:val="center"/>
          </w:tcPr>
          <w:p>
            <w:pPr>
              <w:spacing w:line="360" w:lineRule="exact"/>
              <w:ind w:left="-84" w:leftChars="-40" w:right="-84" w:rightChars="-40"/>
              <w:jc w:val="center"/>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民营经济扶持政策</w:t>
            </w:r>
          </w:p>
        </w:tc>
        <w:tc>
          <w:tcPr>
            <w:tcW w:w="6379" w:type="dxa"/>
            <w:tcBorders>
              <w:top w:val="single" w:color="auto" w:sz="4" w:space="0"/>
              <w:bottom w:val="single" w:color="auto" w:sz="4" w:space="0"/>
            </w:tcBorders>
            <w:shd w:val="clear" w:color="auto" w:fill="auto"/>
          </w:tcPr>
          <w:p>
            <w:pPr>
              <w:spacing w:line="360" w:lineRule="exact"/>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按照眉山市财政局《关于贯彻落实“政采贷”工作的通知》（眉财采〔2019〕3号）文件要求，本项目支持“政采贷”信用融资贷款。“政采贷”产品信息查询渠道详见“四川政府采购网”—“相关模块”—“政采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9" w:hRule="atLeast"/>
        </w:trPr>
        <w:tc>
          <w:tcPr>
            <w:tcW w:w="817" w:type="dxa"/>
            <w:tcBorders>
              <w:top w:val="single" w:color="auto" w:sz="4" w:space="0"/>
              <w:bottom w:val="single" w:color="auto" w:sz="4" w:space="0"/>
            </w:tcBorders>
            <w:shd w:val="clear" w:color="auto" w:fill="auto"/>
            <w:vAlign w:val="center"/>
          </w:tcPr>
          <w:p>
            <w:pPr>
              <w:topLinePunct/>
              <w:spacing w:line="360" w:lineRule="exact"/>
              <w:jc w:val="center"/>
              <w:rPr>
                <w:rFonts w:hint="default" w:cs="宋体" w:asciiTheme="minorEastAsia" w:hAnsiTheme="minorEastAsia" w:eastAsiaTheme="minorEastAsia"/>
                <w:sz w:val="24"/>
                <w:szCs w:val="24"/>
                <w:highlight w:val="none"/>
                <w:lang w:val="en-US" w:eastAsia="zh-CN"/>
              </w:rPr>
            </w:pPr>
            <w:r>
              <w:rPr>
                <w:rFonts w:hint="eastAsia" w:cs="宋体" w:asciiTheme="minorEastAsia" w:hAnsiTheme="minorEastAsia" w:eastAsiaTheme="minorEastAsia"/>
                <w:sz w:val="24"/>
                <w:szCs w:val="24"/>
                <w:highlight w:val="none"/>
                <w:lang w:val="en-US" w:eastAsia="zh-CN"/>
              </w:rPr>
              <w:t>36</w:t>
            </w:r>
          </w:p>
        </w:tc>
        <w:tc>
          <w:tcPr>
            <w:tcW w:w="1559" w:type="dxa"/>
            <w:tcBorders>
              <w:top w:val="single" w:color="auto" w:sz="4" w:space="0"/>
              <w:bottom w:val="single" w:color="auto" w:sz="4" w:space="0"/>
            </w:tcBorders>
            <w:shd w:val="clear" w:color="auto" w:fill="auto"/>
            <w:vAlign w:val="center"/>
          </w:tcPr>
          <w:p>
            <w:pPr>
              <w:topLinePunct/>
              <w:spacing w:line="360" w:lineRule="exact"/>
              <w:ind w:left="-84" w:leftChars="-40" w:right="-84" w:rightChars="-40"/>
              <w:jc w:val="center"/>
              <w:rPr>
                <w:rFonts w:cs="宋体" w:asciiTheme="minorEastAsia" w:hAnsiTheme="minorEastAsia" w:eastAsiaTheme="minorEastAsia"/>
                <w:sz w:val="24"/>
                <w:szCs w:val="24"/>
                <w:highlight w:val="none"/>
              </w:rPr>
            </w:pPr>
            <w:r>
              <w:rPr>
                <w:rFonts w:hint="eastAsia" w:cs="宋体" w:asciiTheme="minorEastAsia" w:hAnsiTheme="minorEastAsia" w:eastAsiaTheme="minorEastAsia"/>
                <w:sz w:val="24"/>
                <w:szCs w:val="24"/>
                <w:highlight w:val="none"/>
              </w:rPr>
              <w:t>其它要求</w:t>
            </w:r>
          </w:p>
        </w:tc>
        <w:tc>
          <w:tcPr>
            <w:tcW w:w="6379" w:type="dxa"/>
            <w:tcBorders>
              <w:top w:val="single" w:color="auto" w:sz="4" w:space="0"/>
              <w:bottom w:val="single" w:color="auto" w:sz="4" w:space="0"/>
            </w:tcBorders>
            <w:shd w:val="clear" w:color="auto" w:fill="auto"/>
            <w:vAlign w:val="center"/>
          </w:tcPr>
          <w:p>
            <w:pPr>
              <w:topLinePunct/>
              <w:spacing w:line="360" w:lineRule="exact"/>
              <w:rPr>
                <w:rFonts w:hint="eastAsia" w:cs="宋体" w:asciiTheme="minorEastAsia" w:hAnsiTheme="minorEastAsia" w:eastAsiaTheme="minorEastAsia"/>
                <w:b/>
                <w:sz w:val="24"/>
                <w:szCs w:val="24"/>
                <w:highlight w:val="none"/>
              </w:rPr>
            </w:pPr>
            <w:r>
              <w:rPr>
                <w:rFonts w:hint="eastAsia" w:cs="宋体" w:asciiTheme="minorEastAsia" w:hAnsiTheme="minorEastAsia" w:eastAsiaTheme="minorEastAsia"/>
                <w:b/>
                <w:sz w:val="24"/>
                <w:szCs w:val="24"/>
                <w:highlight w:val="none"/>
              </w:rPr>
              <w:t>（1）本项目投标文件格式中组成目录以外的资料在其他材料中填写。</w:t>
            </w:r>
          </w:p>
          <w:p>
            <w:pPr>
              <w:topLinePunct/>
              <w:spacing w:line="360" w:lineRule="exact"/>
              <w:rPr>
                <w:rFonts w:hint="eastAsia" w:cs="宋体" w:asciiTheme="minorEastAsia" w:hAnsiTheme="minorEastAsia" w:eastAsiaTheme="minorEastAsia"/>
                <w:b/>
                <w:sz w:val="24"/>
                <w:szCs w:val="24"/>
                <w:highlight w:val="none"/>
              </w:rPr>
            </w:pPr>
            <w:r>
              <w:rPr>
                <w:rFonts w:hint="eastAsia" w:cs="宋体" w:asciiTheme="minorEastAsia" w:hAnsiTheme="minorEastAsia" w:eastAsiaTheme="minorEastAsia"/>
                <w:b/>
                <w:sz w:val="24"/>
                <w:szCs w:val="24"/>
                <w:highlight w:val="none"/>
              </w:rPr>
              <w:t>（2）本项目评分细则中的：“其他”评分项，在投标文件其他材料中填写。</w:t>
            </w:r>
          </w:p>
          <w:p>
            <w:pPr>
              <w:topLinePunct/>
              <w:spacing w:line="360" w:lineRule="exact"/>
            </w:pPr>
            <w:r>
              <w:rPr>
                <w:rFonts w:hint="eastAsia" w:cs="宋体" w:asciiTheme="minorEastAsia" w:hAnsiTheme="minorEastAsia" w:eastAsiaTheme="minorEastAsia"/>
                <w:b/>
                <w:color w:val="FF0000"/>
                <w:sz w:val="24"/>
                <w:szCs w:val="24"/>
                <w:highlight w:val="none"/>
                <w:lang w:val="en-US" w:eastAsia="zh-CN"/>
              </w:rPr>
              <w:t>（3）本项目 接受石油、石化、电力、电信、保险、银行等行业有特殊情况的分公司参加投标。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9" w:hRule="atLeast"/>
        </w:trPr>
        <w:tc>
          <w:tcPr>
            <w:tcW w:w="817" w:type="dxa"/>
            <w:tcBorders>
              <w:top w:val="single" w:color="auto" w:sz="4" w:space="0"/>
              <w:bottom w:val="single" w:color="auto" w:sz="4" w:space="0"/>
            </w:tcBorders>
            <w:shd w:val="clear" w:color="auto" w:fill="auto"/>
            <w:vAlign w:val="center"/>
          </w:tcPr>
          <w:p>
            <w:pPr>
              <w:jc w:val="center"/>
              <w:rPr>
                <w:rFonts w:hint="default" w:ascii="宋体" w:hAnsi="宋体" w:eastAsia="宋体" w:cs="宋体"/>
                <w:b/>
                <w:sz w:val="24"/>
                <w:szCs w:val="24"/>
                <w:highlight w:val="none"/>
                <w:lang w:val="en-US" w:eastAsia="zh-CN"/>
              </w:rPr>
            </w:pPr>
            <w:r>
              <w:rPr>
                <w:rFonts w:hint="eastAsia" w:ascii="宋体" w:hAnsi="宋体" w:cs="宋体"/>
                <w:b/>
                <w:sz w:val="24"/>
                <w:szCs w:val="24"/>
                <w:highlight w:val="none"/>
                <w:lang w:val="en-US" w:eastAsia="zh-CN"/>
              </w:rPr>
              <w:t>37</w:t>
            </w:r>
          </w:p>
        </w:tc>
        <w:tc>
          <w:tcPr>
            <w:tcW w:w="1559" w:type="dxa"/>
            <w:tcBorders>
              <w:top w:val="single" w:color="auto" w:sz="4" w:space="0"/>
              <w:bottom w:val="single" w:color="auto" w:sz="4" w:space="0"/>
            </w:tcBorders>
            <w:shd w:val="clear" w:color="auto" w:fill="auto"/>
            <w:vAlign w:val="center"/>
          </w:tcPr>
          <w:p>
            <w:pPr>
              <w:topLinePunct/>
              <w:spacing w:line="360" w:lineRule="exact"/>
              <w:jc w:val="center"/>
              <w:rPr>
                <w:b/>
                <w:sz w:val="24"/>
                <w:szCs w:val="24"/>
                <w:highlight w:val="none"/>
              </w:rPr>
            </w:pPr>
            <w:r>
              <w:rPr>
                <w:b/>
                <w:sz w:val="24"/>
                <w:szCs w:val="24"/>
                <w:highlight w:val="none"/>
              </w:rPr>
              <w:t>疫情防控</w:t>
            </w:r>
          </w:p>
          <w:p>
            <w:pPr>
              <w:topLinePunct/>
              <w:spacing w:line="360" w:lineRule="exact"/>
              <w:jc w:val="center"/>
              <w:rPr>
                <w:rFonts w:ascii="宋体" w:hAnsi="宋体" w:cs="宋体"/>
                <w:b/>
                <w:sz w:val="24"/>
                <w:szCs w:val="24"/>
                <w:highlight w:val="none"/>
              </w:rPr>
            </w:pPr>
            <w:r>
              <w:rPr>
                <w:b/>
                <w:sz w:val="24"/>
                <w:szCs w:val="24"/>
                <w:highlight w:val="none"/>
              </w:rPr>
              <w:t>注意</w:t>
            </w:r>
            <w:r>
              <w:rPr>
                <w:rFonts w:hint="eastAsia"/>
                <w:b/>
                <w:sz w:val="24"/>
                <w:szCs w:val="24"/>
                <w:highlight w:val="none"/>
              </w:rPr>
              <w:t>事项</w:t>
            </w:r>
          </w:p>
        </w:tc>
        <w:tc>
          <w:tcPr>
            <w:tcW w:w="6379" w:type="dxa"/>
            <w:tcBorders>
              <w:top w:val="single" w:color="auto" w:sz="4" w:space="0"/>
              <w:bottom w:val="single" w:color="auto" w:sz="4" w:space="0"/>
            </w:tcBorders>
            <w:shd w:val="clear" w:color="auto" w:fill="auto"/>
            <w:vAlign w:val="center"/>
          </w:tcPr>
          <w:p>
            <w:pPr>
              <w:numPr>
                <w:ilvl w:val="0"/>
                <w:numId w:val="2"/>
              </w:numPr>
              <w:topLinePunct/>
              <w:spacing w:line="360" w:lineRule="exact"/>
              <w:jc w:val="left"/>
              <w:rPr>
                <w:rFonts w:ascii="宋体" w:hAnsi="宋体" w:cs="宋体"/>
                <w:b/>
                <w:sz w:val="24"/>
                <w:szCs w:val="24"/>
                <w:highlight w:val="none"/>
              </w:rPr>
            </w:pPr>
            <w:r>
              <w:rPr>
                <w:rFonts w:hint="eastAsia" w:ascii="宋体" w:hAnsi="宋体" w:cs="宋体"/>
                <w:b/>
                <w:sz w:val="24"/>
                <w:szCs w:val="24"/>
                <w:highlight w:val="none"/>
              </w:rPr>
              <w:t>本项目采用</w:t>
            </w:r>
            <w:r>
              <w:rPr>
                <w:rFonts w:hint="eastAsia" w:ascii="宋体" w:hAnsi="宋体" w:cs="宋体"/>
                <w:b/>
                <w:sz w:val="24"/>
                <w:szCs w:val="24"/>
                <w:highlight w:val="none"/>
                <w:lang w:val="en-US" w:eastAsia="zh-CN"/>
              </w:rPr>
              <w:t>现场报名和</w:t>
            </w:r>
            <w:r>
              <w:rPr>
                <w:rFonts w:hint="eastAsia" w:ascii="宋体" w:hAnsi="宋体" w:cs="宋体"/>
                <w:b/>
                <w:sz w:val="24"/>
                <w:szCs w:val="24"/>
                <w:highlight w:val="none"/>
              </w:rPr>
              <w:t>线上报名方式，</w:t>
            </w:r>
            <w:r>
              <w:rPr>
                <w:b/>
                <w:sz w:val="24"/>
                <w:szCs w:val="24"/>
                <w:highlight w:val="none"/>
              </w:rPr>
              <w:t>疫情防控</w:t>
            </w:r>
            <w:r>
              <w:rPr>
                <w:rFonts w:hint="eastAsia" w:ascii="宋体" w:hAnsi="宋体" w:cs="宋体"/>
                <w:b/>
                <w:sz w:val="24"/>
                <w:szCs w:val="24"/>
                <w:highlight w:val="none"/>
                <w:lang w:val="en-US" w:eastAsia="zh-CN"/>
              </w:rPr>
              <w:t>建议</w:t>
            </w:r>
            <w:r>
              <w:rPr>
                <w:rFonts w:hint="eastAsia" w:ascii="宋体" w:hAnsi="宋体" w:cs="宋体"/>
                <w:b/>
                <w:sz w:val="24"/>
                <w:szCs w:val="24"/>
                <w:highlight w:val="none"/>
              </w:rPr>
              <w:t>报名供应商线上报名。</w:t>
            </w:r>
          </w:p>
          <w:p>
            <w:pPr>
              <w:numPr>
                <w:ilvl w:val="0"/>
                <w:numId w:val="2"/>
              </w:numPr>
              <w:topLinePunct/>
              <w:spacing w:line="360" w:lineRule="exact"/>
              <w:jc w:val="left"/>
              <w:rPr>
                <w:rFonts w:ascii="宋体" w:hAnsi="宋体" w:cs="宋体"/>
                <w:b/>
                <w:sz w:val="24"/>
                <w:szCs w:val="24"/>
                <w:highlight w:val="none"/>
                <w:lang w:val="zh-CN"/>
              </w:rPr>
            </w:pPr>
            <w:r>
              <w:rPr>
                <w:rFonts w:hint="eastAsia" w:ascii="宋体" w:hAnsi="宋体" w:cs="宋体"/>
                <w:b/>
                <w:sz w:val="24"/>
                <w:szCs w:val="24"/>
                <w:highlight w:val="none"/>
              </w:rPr>
              <w:t>到现场参与开标的</w:t>
            </w:r>
            <w:r>
              <w:rPr>
                <w:rFonts w:ascii="宋体" w:hAnsi="宋体" w:cs="宋体"/>
                <w:b/>
                <w:sz w:val="24"/>
                <w:szCs w:val="24"/>
                <w:highlight w:val="none"/>
              </w:rPr>
              <w:t>投标人（供应商）</w:t>
            </w:r>
            <w:r>
              <w:rPr>
                <w:rFonts w:hint="eastAsia" w:ascii="宋体" w:hAnsi="宋体" w:cs="宋体"/>
                <w:b/>
                <w:sz w:val="24"/>
                <w:szCs w:val="24"/>
                <w:highlight w:val="none"/>
              </w:rPr>
              <w:t>需做好自身疫情防护工作，到场人员为中高风险地区的按市级政府部门要求，需提供七日内核酸检测报告或记录；所有到场人员开标时需配合代理机构人员做好疫情登记管理，扫描场所码，并主动出示健康码；在开标过程中，若无必要，供应商应在固定地点等候不要四处走动。</w:t>
            </w:r>
            <w:bookmarkStart w:id="118" w:name="_GoBack"/>
            <w:bookmarkEnd w:id="118"/>
          </w:p>
          <w:p>
            <w:pPr>
              <w:numPr>
                <w:ilvl w:val="0"/>
                <w:numId w:val="2"/>
              </w:numPr>
              <w:topLinePunct/>
              <w:spacing w:line="360" w:lineRule="exact"/>
              <w:jc w:val="left"/>
              <w:rPr>
                <w:rFonts w:ascii="宋体" w:hAnsi="宋体" w:cs="宋体"/>
                <w:b/>
                <w:sz w:val="24"/>
                <w:szCs w:val="24"/>
                <w:highlight w:val="none"/>
              </w:rPr>
            </w:pPr>
            <w:r>
              <w:rPr>
                <w:rFonts w:ascii="宋体" w:hAnsi="宋体" w:cs="宋体"/>
                <w:b/>
                <w:sz w:val="24"/>
                <w:szCs w:val="24"/>
                <w:highlight w:val="none"/>
              </w:rPr>
              <w:t>采购人、</w:t>
            </w:r>
            <w:r>
              <w:rPr>
                <w:rFonts w:hint="eastAsia" w:ascii="宋体" w:hAnsi="宋体" w:cs="宋体"/>
                <w:b/>
                <w:sz w:val="24"/>
                <w:szCs w:val="24"/>
                <w:highlight w:val="none"/>
                <w:lang w:val="en-US" w:eastAsia="zh-CN"/>
              </w:rPr>
              <w:t>投标人</w:t>
            </w:r>
            <w:r>
              <w:rPr>
                <w:rFonts w:ascii="宋体" w:hAnsi="宋体" w:cs="宋体"/>
                <w:b/>
                <w:sz w:val="24"/>
                <w:szCs w:val="24"/>
                <w:highlight w:val="none"/>
              </w:rPr>
              <w:t>和评审专家需配合招标代理机构工作人员消毒，体温检测和人员信息登记等工作</w:t>
            </w:r>
            <w:r>
              <w:rPr>
                <w:rFonts w:hint="eastAsia" w:ascii="宋体" w:hAnsi="宋体" w:cs="宋体"/>
                <w:b/>
                <w:sz w:val="24"/>
                <w:szCs w:val="24"/>
                <w:highlight w:val="none"/>
              </w:rPr>
              <w:t>，扫描场所码，并主动出示健康码</w:t>
            </w:r>
            <w:r>
              <w:rPr>
                <w:rFonts w:ascii="宋体" w:hAnsi="宋体" w:cs="宋体"/>
                <w:b/>
                <w:sz w:val="24"/>
                <w:szCs w:val="24"/>
                <w:highlight w:val="none"/>
              </w:rPr>
              <w:t>。</w:t>
            </w:r>
          </w:p>
        </w:tc>
      </w:tr>
    </w:tbl>
    <w:p>
      <w:pPr>
        <w:rPr>
          <w:highlight w:val="none"/>
        </w:rPr>
      </w:pPr>
      <w:bookmarkStart w:id="13" w:name="EB300afb04798540a4b1aa9230fd20c14f"/>
      <w:bookmarkEnd w:id="13"/>
    </w:p>
    <w:p>
      <w:pPr>
        <w:pStyle w:val="44"/>
        <w:jc w:val="center"/>
        <w:rPr>
          <w:b/>
          <w:sz w:val="32"/>
          <w:szCs w:val="32"/>
          <w:highlight w:val="none"/>
        </w:rPr>
      </w:pPr>
      <w:r>
        <w:rPr>
          <w:highlight w:val="none"/>
        </w:rPr>
        <w:br w:type="page"/>
      </w:r>
      <w:bookmarkStart w:id="14" w:name="_Toc484268463"/>
      <w:r>
        <w:rPr>
          <w:rFonts w:hint="eastAsia"/>
          <w:b/>
          <w:sz w:val="32"/>
          <w:szCs w:val="32"/>
          <w:highlight w:val="none"/>
        </w:rPr>
        <w:t>二、总则</w:t>
      </w:r>
      <w:bookmarkEnd w:id="14"/>
    </w:p>
    <w:p>
      <w:pPr>
        <w:spacing w:line="440" w:lineRule="exact"/>
        <w:rPr>
          <w:rFonts w:ascii="宋体" w:hAnsi="宋体"/>
          <w:highlight w:val="none"/>
        </w:rPr>
      </w:pPr>
    </w:p>
    <w:p>
      <w:pPr>
        <w:tabs>
          <w:tab w:val="left" w:pos="7665"/>
        </w:tabs>
        <w:topLinePunct/>
        <w:spacing w:line="440" w:lineRule="exact"/>
        <w:ind w:firstLine="472" w:firstLineChars="196"/>
        <w:outlineLvl w:val="3"/>
        <w:rPr>
          <w:rFonts w:ascii="宋体" w:hAnsi="宋体"/>
          <w:b/>
          <w:sz w:val="24"/>
          <w:highlight w:val="none"/>
        </w:rPr>
      </w:pPr>
      <w:r>
        <w:rPr>
          <w:rFonts w:hint="eastAsia" w:ascii="宋体" w:hAnsi="宋体"/>
          <w:b/>
          <w:sz w:val="24"/>
          <w:highlight w:val="none"/>
        </w:rPr>
        <w:t>1．适用范围</w:t>
      </w:r>
    </w:p>
    <w:p>
      <w:pPr>
        <w:tabs>
          <w:tab w:val="left" w:pos="7665"/>
        </w:tabs>
        <w:topLinePunct/>
        <w:spacing w:line="440" w:lineRule="exact"/>
        <w:ind w:firstLine="480" w:firstLineChars="200"/>
        <w:rPr>
          <w:rFonts w:ascii="宋体" w:hAnsi="宋体"/>
          <w:sz w:val="24"/>
          <w:highlight w:val="none"/>
        </w:rPr>
      </w:pPr>
      <w:r>
        <w:rPr>
          <w:rFonts w:hint="eastAsia" w:ascii="宋体" w:hAnsi="宋体"/>
          <w:sz w:val="24"/>
          <w:highlight w:val="none"/>
        </w:rPr>
        <w:t>1.1 本招标文件仅适用于本次公开招标采购项目。</w:t>
      </w:r>
    </w:p>
    <w:p>
      <w:pPr>
        <w:tabs>
          <w:tab w:val="left" w:pos="7665"/>
        </w:tabs>
        <w:topLinePunct/>
        <w:spacing w:line="440" w:lineRule="exact"/>
        <w:ind w:firstLine="472" w:firstLineChars="196"/>
        <w:outlineLvl w:val="3"/>
        <w:rPr>
          <w:rFonts w:ascii="宋体" w:hAnsi="宋体"/>
          <w:b/>
          <w:sz w:val="24"/>
          <w:highlight w:val="none"/>
        </w:rPr>
      </w:pPr>
      <w:r>
        <w:rPr>
          <w:rFonts w:hint="eastAsia" w:ascii="宋体" w:hAnsi="宋体"/>
          <w:b/>
          <w:sz w:val="24"/>
          <w:highlight w:val="none"/>
        </w:rPr>
        <w:t>2. 有关定义</w:t>
      </w:r>
    </w:p>
    <w:p>
      <w:pPr>
        <w:tabs>
          <w:tab w:val="left" w:pos="7665"/>
        </w:tabs>
        <w:topLinePunct/>
        <w:spacing w:line="440" w:lineRule="exact"/>
        <w:ind w:firstLine="480" w:firstLineChars="200"/>
        <w:rPr>
          <w:rFonts w:hint="eastAsia" w:ascii="宋体" w:hAnsi="宋体" w:eastAsia="宋体"/>
          <w:sz w:val="24"/>
          <w:highlight w:val="none"/>
          <w:lang w:eastAsia="zh-CN"/>
        </w:rPr>
      </w:pPr>
      <w:r>
        <w:rPr>
          <w:rFonts w:hint="eastAsia" w:ascii="宋体" w:hAnsi="宋体"/>
          <w:sz w:val="24"/>
          <w:highlight w:val="none"/>
        </w:rPr>
        <w:t>2.1本次招标的采购人是</w:t>
      </w:r>
      <w:r>
        <w:rPr>
          <w:rFonts w:hint="eastAsia" w:ascii="宋体" w:hAnsi="宋体"/>
          <w:sz w:val="24"/>
          <w:highlight w:val="none"/>
          <w:u w:val="single"/>
        </w:rPr>
        <w:t>眉山市退役军人事务局</w:t>
      </w:r>
      <w:r>
        <w:rPr>
          <w:rFonts w:hint="eastAsia" w:ascii="宋体" w:hAnsi="宋体"/>
          <w:sz w:val="24"/>
          <w:highlight w:val="none"/>
          <w:u w:val="single"/>
          <w:lang w:eastAsia="zh-CN"/>
        </w:rPr>
        <w:t>。</w:t>
      </w:r>
    </w:p>
    <w:p>
      <w:pPr>
        <w:tabs>
          <w:tab w:val="left" w:pos="7665"/>
        </w:tabs>
        <w:topLinePunct/>
        <w:spacing w:line="440" w:lineRule="exact"/>
        <w:ind w:firstLine="480" w:firstLineChars="200"/>
        <w:rPr>
          <w:rFonts w:ascii="宋体" w:hAnsi="宋体"/>
          <w:sz w:val="24"/>
          <w:highlight w:val="none"/>
        </w:rPr>
      </w:pPr>
      <w:r>
        <w:rPr>
          <w:rFonts w:hint="eastAsia" w:ascii="宋体" w:hAnsi="宋体"/>
          <w:sz w:val="24"/>
          <w:highlight w:val="none"/>
        </w:rPr>
        <w:t>2.2本次招标的采购代理机构是</w:t>
      </w:r>
      <w:r>
        <w:rPr>
          <w:rFonts w:hint="eastAsia" w:ascii="宋体" w:hAnsi="宋体"/>
          <w:sz w:val="24"/>
          <w:highlight w:val="none"/>
          <w:u w:val="single"/>
          <w:lang w:eastAsia="zh-CN"/>
        </w:rPr>
        <w:t>四川中岚工程项目管理有限公司</w:t>
      </w:r>
      <w:r>
        <w:rPr>
          <w:rFonts w:hint="eastAsia" w:ascii="宋体" w:hAnsi="宋体"/>
          <w:sz w:val="24"/>
          <w:highlight w:val="none"/>
        </w:rPr>
        <w:t>。</w:t>
      </w:r>
    </w:p>
    <w:p>
      <w:pPr>
        <w:tabs>
          <w:tab w:val="left" w:pos="7665"/>
        </w:tabs>
        <w:topLinePunct/>
        <w:spacing w:line="440" w:lineRule="exact"/>
        <w:ind w:firstLine="480" w:firstLineChars="200"/>
        <w:rPr>
          <w:rFonts w:ascii="宋体" w:hAnsi="宋体"/>
          <w:sz w:val="24"/>
          <w:highlight w:val="none"/>
        </w:rPr>
      </w:pPr>
      <w:r>
        <w:rPr>
          <w:rFonts w:hint="eastAsia" w:ascii="宋体" w:hAnsi="宋体"/>
          <w:sz w:val="24"/>
          <w:highlight w:val="none"/>
        </w:rPr>
        <w:t>2.3 “投标人”系指</w:t>
      </w:r>
      <w:r>
        <w:rPr>
          <w:rFonts w:ascii="宋体" w:hAnsi="宋体"/>
          <w:sz w:val="24"/>
          <w:highlight w:val="none"/>
        </w:rPr>
        <w:t>是指响应招标、参加投标竞争的法人、其他组织或者自然人。</w:t>
      </w:r>
    </w:p>
    <w:p>
      <w:pPr>
        <w:tabs>
          <w:tab w:val="left" w:pos="7665"/>
        </w:tabs>
        <w:topLinePunct/>
        <w:spacing w:line="440" w:lineRule="exact"/>
        <w:ind w:firstLine="472" w:firstLineChars="196"/>
        <w:outlineLvl w:val="3"/>
        <w:rPr>
          <w:rFonts w:ascii="宋体" w:hAnsi="宋体"/>
          <w:b/>
          <w:sz w:val="24"/>
          <w:highlight w:val="none"/>
        </w:rPr>
      </w:pPr>
      <w:r>
        <w:rPr>
          <w:rFonts w:hint="eastAsia" w:ascii="宋体" w:hAnsi="宋体"/>
          <w:b/>
          <w:sz w:val="24"/>
          <w:highlight w:val="none"/>
        </w:rPr>
        <w:t>3. 投标费用（实质性要求）</w:t>
      </w:r>
    </w:p>
    <w:p>
      <w:pPr>
        <w:tabs>
          <w:tab w:val="left" w:pos="7665"/>
        </w:tabs>
        <w:topLinePunct/>
        <w:spacing w:line="440" w:lineRule="exact"/>
        <w:ind w:firstLine="480" w:firstLineChars="200"/>
        <w:rPr>
          <w:rFonts w:ascii="宋体" w:hAnsi="宋体"/>
          <w:sz w:val="24"/>
          <w:highlight w:val="none"/>
        </w:rPr>
      </w:pPr>
      <w:r>
        <w:rPr>
          <w:rFonts w:hint="eastAsia" w:ascii="宋体" w:hAnsi="宋体"/>
          <w:sz w:val="24"/>
          <w:highlight w:val="none"/>
        </w:rPr>
        <w:t>无论投标结果如何，投标人参加投标的有关费用由投标人自行承担。因采购人原因取消采购任务的，投标人参加投标的有关费用也由投标人自行承担。</w:t>
      </w:r>
    </w:p>
    <w:p>
      <w:pPr>
        <w:tabs>
          <w:tab w:val="left" w:pos="7665"/>
        </w:tabs>
        <w:topLinePunct/>
        <w:spacing w:line="440" w:lineRule="exact"/>
        <w:ind w:firstLine="472" w:firstLineChars="196"/>
        <w:outlineLvl w:val="3"/>
        <w:rPr>
          <w:rFonts w:ascii="宋体" w:hAnsi="宋体"/>
          <w:b/>
          <w:sz w:val="24"/>
          <w:highlight w:val="none"/>
        </w:rPr>
      </w:pPr>
      <w:r>
        <w:rPr>
          <w:rFonts w:hint="eastAsia" w:ascii="宋体" w:hAnsi="宋体"/>
          <w:b/>
          <w:sz w:val="24"/>
          <w:highlight w:val="none"/>
        </w:rPr>
        <w:t>4. 合格的投标人（实质性要求）</w:t>
      </w:r>
    </w:p>
    <w:p>
      <w:pPr>
        <w:tabs>
          <w:tab w:val="left" w:pos="7665"/>
        </w:tabs>
        <w:spacing w:line="440" w:lineRule="exact"/>
        <w:ind w:firstLine="480" w:firstLineChars="200"/>
        <w:rPr>
          <w:rFonts w:ascii="宋体" w:hAnsi="宋体"/>
          <w:sz w:val="24"/>
          <w:highlight w:val="none"/>
        </w:rPr>
      </w:pPr>
      <w:r>
        <w:rPr>
          <w:rFonts w:hint="eastAsia" w:ascii="宋体" w:hAnsi="宋体"/>
          <w:sz w:val="24"/>
          <w:highlight w:val="none"/>
        </w:rPr>
        <w:t>合格的投标人应具备以下条件：</w:t>
      </w:r>
    </w:p>
    <w:p>
      <w:pPr>
        <w:tabs>
          <w:tab w:val="left" w:pos="7665"/>
        </w:tabs>
        <w:spacing w:line="440" w:lineRule="exact"/>
        <w:ind w:firstLine="480" w:firstLineChars="200"/>
        <w:rPr>
          <w:rFonts w:ascii="宋体" w:hAnsi="宋体"/>
          <w:spacing w:val="-4"/>
          <w:sz w:val="24"/>
          <w:highlight w:val="none"/>
        </w:rPr>
      </w:pPr>
      <w:r>
        <w:rPr>
          <w:rFonts w:hint="eastAsia" w:ascii="宋体" w:hAnsi="宋体"/>
          <w:sz w:val="24"/>
          <w:highlight w:val="none"/>
        </w:rPr>
        <w:t>（1）本招标文件规定的供应商资格条件</w:t>
      </w:r>
      <w:r>
        <w:rPr>
          <w:rFonts w:hint="eastAsia" w:ascii="宋体" w:hAnsi="宋体"/>
          <w:spacing w:val="-4"/>
          <w:sz w:val="24"/>
          <w:highlight w:val="none"/>
        </w:rPr>
        <w:t>；</w:t>
      </w:r>
    </w:p>
    <w:p>
      <w:pPr>
        <w:tabs>
          <w:tab w:val="left" w:pos="7665"/>
        </w:tabs>
        <w:spacing w:line="440" w:lineRule="exact"/>
        <w:rPr>
          <w:rFonts w:ascii="宋体" w:hAnsi="宋体"/>
          <w:sz w:val="24"/>
          <w:highlight w:val="none"/>
        </w:rPr>
      </w:pPr>
      <w:r>
        <w:rPr>
          <w:rFonts w:hint="eastAsia" w:ascii="宋体" w:hAnsi="宋体"/>
          <w:sz w:val="24"/>
          <w:highlight w:val="none"/>
        </w:rPr>
        <w:t xml:space="preserve">    （2）遵守国家有关的法律、法规、规章和其他政策制度。</w:t>
      </w:r>
    </w:p>
    <w:p>
      <w:pPr>
        <w:tabs>
          <w:tab w:val="left" w:pos="7665"/>
        </w:tabs>
        <w:topLinePunct/>
        <w:spacing w:line="440" w:lineRule="exact"/>
        <w:ind w:firstLine="472" w:firstLineChars="196"/>
        <w:outlineLvl w:val="3"/>
        <w:rPr>
          <w:rFonts w:ascii="宋体" w:hAnsi="宋体"/>
          <w:b/>
          <w:sz w:val="24"/>
          <w:highlight w:val="none"/>
        </w:rPr>
      </w:pPr>
      <w:r>
        <w:rPr>
          <w:rFonts w:hint="eastAsia" w:ascii="宋体" w:hAnsi="宋体"/>
          <w:b/>
          <w:sz w:val="24"/>
          <w:highlight w:val="none"/>
        </w:rPr>
        <w:t>5.充分、公平竞争保障措施</w:t>
      </w:r>
      <w:r>
        <w:rPr>
          <w:rFonts w:hint="eastAsia"/>
          <w:sz w:val="24"/>
          <w:szCs w:val="24"/>
          <w:highlight w:val="none"/>
        </w:rPr>
        <w:t>（实质性要求）</w:t>
      </w:r>
    </w:p>
    <w:p>
      <w:pPr>
        <w:tabs>
          <w:tab w:val="left" w:pos="7665"/>
        </w:tabs>
        <w:spacing w:line="440" w:lineRule="exact"/>
        <w:ind w:firstLine="480"/>
        <w:rPr>
          <w:rFonts w:ascii="宋体" w:hAnsi="宋体"/>
          <w:b/>
          <w:sz w:val="24"/>
          <w:szCs w:val="24"/>
          <w:highlight w:val="none"/>
        </w:rPr>
      </w:pPr>
      <w:r>
        <w:rPr>
          <w:rFonts w:hint="eastAsia" w:ascii="宋体" w:hAnsi="宋体"/>
          <w:b/>
          <w:sz w:val="24"/>
          <w:highlight w:val="none"/>
        </w:rPr>
        <w:t>5.1提供相同品牌产品处理</w:t>
      </w:r>
      <w:r>
        <w:rPr>
          <w:rFonts w:hint="eastAsia" w:ascii="宋体" w:hAnsi="宋体"/>
          <w:b/>
          <w:sz w:val="24"/>
          <w:szCs w:val="24"/>
          <w:highlight w:val="none"/>
        </w:rPr>
        <w:t>。</w:t>
      </w:r>
    </w:p>
    <w:p>
      <w:pPr>
        <w:tabs>
          <w:tab w:val="left" w:pos="7665"/>
        </w:tabs>
        <w:spacing w:line="440" w:lineRule="exact"/>
        <w:ind w:firstLine="480"/>
      </w:pPr>
      <w:r>
        <w:rPr>
          <w:rFonts w:hint="eastAsia" w:ascii="宋体" w:hAnsi="宋体"/>
          <w:b/>
          <w:sz w:val="24"/>
          <w:szCs w:val="24"/>
          <w:highlight w:val="none"/>
        </w:rPr>
        <w:t>采用综合评分法的，</w:t>
      </w:r>
      <w:r>
        <w:rPr>
          <w:rFonts w:hint="eastAsia" w:ascii="宋体" w:hAnsi="宋体"/>
          <w:sz w:val="24"/>
          <w:szCs w:val="24"/>
          <w:highlight w:val="none"/>
        </w:rPr>
        <w:t>提供相同品牌产品</w:t>
      </w:r>
      <w:r>
        <w:rPr>
          <w:rFonts w:ascii="宋体" w:hAnsi="宋体"/>
          <w:sz w:val="24"/>
          <w:szCs w:val="24"/>
          <w:highlight w:val="none"/>
        </w:rPr>
        <w:t>且通过资格审查、符合性审查的不同投标人参加同一合同项下投标的，按一家投标人计算，评审后得分最高的同品牌投标人获得中标人推荐资格；评审得分相同的，</w:t>
      </w:r>
      <w:r>
        <w:rPr>
          <w:rFonts w:hint="eastAsia" w:ascii="宋体" w:hAnsi="宋体"/>
          <w:color w:val="auto"/>
          <w:sz w:val="24"/>
          <w:szCs w:val="24"/>
          <w:highlight w:val="none"/>
        </w:rPr>
        <w:t>由评标委员会</w:t>
      </w:r>
      <w:r>
        <w:rPr>
          <w:rFonts w:ascii="宋体" w:hAnsi="宋体"/>
          <w:color w:val="auto"/>
          <w:sz w:val="24"/>
          <w:szCs w:val="24"/>
          <w:highlight w:val="none"/>
        </w:rPr>
        <w:t>采取随机抽取方式确定，其他同品牌投标人不作为中标候选人。</w:t>
      </w:r>
    </w:p>
    <w:p>
      <w:pPr>
        <w:pStyle w:val="35"/>
        <w:spacing w:line="440" w:lineRule="exact"/>
        <w:ind w:left="1" w:firstLine="480" w:firstLineChars="200"/>
        <w:rPr>
          <w:rFonts w:hAnsi="宋体"/>
          <w:sz w:val="24"/>
          <w:highlight w:val="none"/>
        </w:rPr>
      </w:pPr>
      <w:r>
        <w:rPr>
          <w:rFonts w:hint="eastAsia" w:hAnsi="宋体"/>
          <w:sz w:val="24"/>
          <w:highlight w:val="none"/>
        </w:rPr>
        <w:t>5.2利害关系供应商处理。</w:t>
      </w:r>
    </w:p>
    <w:p>
      <w:pPr>
        <w:pStyle w:val="35"/>
        <w:spacing w:line="440" w:lineRule="exact"/>
        <w:ind w:left="1" w:firstLine="480" w:firstLineChars="200"/>
        <w:rPr>
          <w:rFonts w:hAnsi="宋体"/>
          <w:sz w:val="24"/>
          <w:highlight w:val="none"/>
        </w:rPr>
      </w:pPr>
      <w:r>
        <w:rPr>
          <w:rFonts w:hint="eastAsia" w:hAnsi="宋体"/>
          <w:sz w:val="24"/>
          <w:highlight w:val="none"/>
        </w:rPr>
        <w:t>单位负责人为同一人或者存在直接控股、管理关系的不同供应商不得参加同一合同项下的政府采购活动。采购项目实行资格预审的，单位负责人为同一人或者存在直接控股、管理关系的不同供应商可以参加资格预审，但只能由供应商确定其中一家符合条件的供应商参加后续的政府采购活动，否则，其投标文件作为无效处理。</w:t>
      </w:r>
    </w:p>
    <w:p>
      <w:pPr>
        <w:pStyle w:val="35"/>
        <w:spacing w:line="440" w:lineRule="exact"/>
        <w:ind w:left="1" w:firstLine="480" w:firstLineChars="200"/>
        <w:rPr>
          <w:rFonts w:hAnsi="宋体"/>
          <w:sz w:val="24"/>
          <w:highlight w:val="none"/>
        </w:rPr>
      </w:pPr>
      <w:r>
        <w:rPr>
          <w:rFonts w:hint="eastAsia" w:hAnsi="宋体"/>
          <w:sz w:val="24"/>
          <w:highlight w:val="none"/>
        </w:rPr>
        <w:t>5.3前期参与供应商处理。</w:t>
      </w:r>
    </w:p>
    <w:p>
      <w:pPr>
        <w:pStyle w:val="35"/>
        <w:spacing w:line="440" w:lineRule="exact"/>
        <w:ind w:left="1" w:firstLine="480" w:firstLineChars="200"/>
        <w:rPr>
          <w:rFonts w:hAnsi="宋体"/>
          <w:sz w:val="24"/>
          <w:highlight w:val="none"/>
        </w:rPr>
      </w:pPr>
      <w:r>
        <w:rPr>
          <w:rFonts w:hint="eastAsia" w:hAnsi="宋体"/>
          <w:sz w:val="24"/>
          <w:highlight w:val="none"/>
        </w:rPr>
        <w:t>为采购项目提供整体设计、规范编制或者项目管理、监理、检测等服务的供应商，不得再参加该采购项目的其他采购活动。供应商为采购人、采购代理机构在确定采购需求、编制采购文件过程中提供咨询论证，其提供的咨询论证意见成为采购文件中规定的供应商资格条件、技术服务商务要求、评标因素和标准、政府采购合同等实质性内容条款的，视同为采购项目提供规范编制。</w:t>
      </w:r>
    </w:p>
    <w:p>
      <w:pPr>
        <w:pStyle w:val="35"/>
        <w:spacing w:line="440" w:lineRule="exact"/>
        <w:ind w:firstLine="482" w:firstLineChars="200"/>
        <w:rPr>
          <w:rFonts w:hAnsi="宋体"/>
          <w:b/>
          <w:sz w:val="24"/>
          <w:highlight w:val="none"/>
        </w:rPr>
      </w:pPr>
      <w:r>
        <w:rPr>
          <w:rFonts w:hint="eastAsia" w:hAnsi="宋体"/>
          <w:b/>
          <w:sz w:val="24"/>
          <w:highlight w:val="none"/>
        </w:rPr>
        <w:t>5.4</w:t>
      </w:r>
      <w:r>
        <w:rPr>
          <w:rFonts w:hAnsi="宋体"/>
          <w:b/>
          <w:sz w:val="24"/>
          <w:highlight w:val="none"/>
        </w:rPr>
        <w:t>有下列情形之一的，视为投标人串通投标，其投标无效：</w:t>
      </w:r>
    </w:p>
    <w:p>
      <w:pPr>
        <w:pStyle w:val="35"/>
        <w:spacing w:line="440" w:lineRule="exact"/>
        <w:ind w:left="1" w:firstLine="482" w:firstLineChars="200"/>
        <w:rPr>
          <w:rFonts w:hAnsi="宋体"/>
          <w:b/>
          <w:sz w:val="24"/>
          <w:highlight w:val="none"/>
        </w:rPr>
      </w:pPr>
      <w:r>
        <w:rPr>
          <w:rFonts w:hint="eastAsia" w:hAnsi="宋体"/>
          <w:b/>
          <w:sz w:val="24"/>
          <w:highlight w:val="none"/>
        </w:rPr>
        <w:t>(1)</w:t>
      </w:r>
      <w:r>
        <w:rPr>
          <w:rFonts w:hAnsi="宋体"/>
          <w:b/>
          <w:sz w:val="24"/>
          <w:highlight w:val="none"/>
        </w:rPr>
        <w:t>不同投标人的投标文件由同一单位或者个人编制；</w:t>
      </w:r>
    </w:p>
    <w:p>
      <w:pPr>
        <w:pStyle w:val="35"/>
        <w:spacing w:line="440" w:lineRule="exact"/>
        <w:ind w:left="1"/>
        <w:rPr>
          <w:rFonts w:hAnsi="宋体"/>
          <w:b/>
          <w:sz w:val="24"/>
          <w:highlight w:val="none"/>
        </w:rPr>
      </w:pPr>
      <w:r>
        <w:rPr>
          <w:rFonts w:hAnsi="宋体"/>
          <w:b/>
          <w:sz w:val="24"/>
          <w:highlight w:val="none"/>
        </w:rPr>
        <w:t>　　</w:t>
      </w:r>
      <w:r>
        <w:rPr>
          <w:rFonts w:hint="eastAsia" w:hAnsi="宋体"/>
          <w:b/>
          <w:sz w:val="24"/>
          <w:highlight w:val="none"/>
        </w:rPr>
        <w:t>(2)不同投标人同时委托同一个自然人、同一家庭的人员、同一单位的人员作为其代理人的；</w:t>
      </w:r>
    </w:p>
    <w:p>
      <w:pPr>
        <w:pStyle w:val="35"/>
        <w:spacing w:line="440" w:lineRule="exact"/>
        <w:ind w:left="1" w:firstLine="482" w:firstLineChars="200"/>
        <w:rPr>
          <w:rFonts w:hAnsi="宋体"/>
          <w:b/>
          <w:sz w:val="24"/>
          <w:highlight w:val="none"/>
        </w:rPr>
      </w:pPr>
      <w:r>
        <w:rPr>
          <w:rFonts w:hint="eastAsia" w:hAnsi="宋体"/>
          <w:b/>
          <w:sz w:val="24"/>
          <w:highlight w:val="none"/>
        </w:rPr>
        <w:t>(3)</w:t>
      </w:r>
      <w:r>
        <w:rPr>
          <w:rFonts w:hAnsi="宋体"/>
          <w:b/>
          <w:sz w:val="24"/>
          <w:highlight w:val="none"/>
        </w:rPr>
        <w:t>不同投标人的投标文件载明的项目管理成员或者联系人员为同一人；</w:t>
      </w:r>
    </w:p>
    <w:p>
      <w:pPr>
        <w:pStyle w:val="35"/>
        <w:spacing w:line="440" w:lineRule="exact"/>
        <w:ind w:left="1" w:firstLine="482" w:firstLineChars="200"/>
        <w:rPr>
          <w:rFonts w:hAnsi="宋体"/>
          <w:b/>
          <w:sz w:val="24"/>
          <w:highlight w:val="none"/>
        </w:rPr>
      </w:pPr>
      <w:r>
        <w:rPr>
          <w:rFonts w:hint="eastAsia" w:hAnsi="宋体"/>
          <w:b/>
          <w:sz w:val="24"/>
          <w:highlight w:val="none"/>
        </w:rPr>
        <w:t>(4)</w:t>
      </w:r>
      <w:r>
        <w:rPr>
          <w:rFonts w:hAnsi="宋体"/>
          <w:b/>
          <w:sz w:val="24"/>
          <w:highlight w:val="none"/>
        </w:rPr>
        <w:t>不同投标人的投标文件异常一致或者投标报价呈规律性差异；</w:t>
      </w:r>
    </w:p>
    <w:p>
      <w:pPr>
        <w:pStyle w:val="35"/>
        <w:spacing w:line="440" w:lineRule="exact"/>
        <w:ind w:left="1" w:firstLine="482" w:firstLineChars="200"/>
        <w:rPr>
          <w:rFonts w:hAnsi="宋体"/>
          <w:b/>
          <w:sz w:val="24"/>
          <w:highlight w:val="none"/>
        </w:rPr>
      </w:pPr>
      <w:r>
        <w:rPr>
          <w:rFonts w:hint="eastAsia" w:hAnsi="宋体"/>
          <w:b/>
          <w:sz w:val="24"/>
          <w:highlight w:val="none"/>
        </w:rPr>
        <w:t>(5)</w:t>
      </w:r>
      <w:r>
        <w:rPr>
          <w:rFonts w:hAnsi="宋体"/>
          <w:b/>
          <w:sz w:val="24"/>
          <w:highlight w:val="none"/>
        </w:rPr>
        <w:t>不同投标人的投标文件相互混装；</w:t>
      </w:r>
    </w:p>
    <w:p>
      <w:pPr>
        <w:spacing w:line="440" w:lineRule="exact"/>
        <w:rPr>
          <w:sz w:val="24"/>
          <w:highlight w:val="none"/>
        </w:rPr>
      </w:pPr>
      <w:bookmarkStart w:id="15" w:name="EB54eed2a2ccd84917a8010e222dc9e5eb"/>
      <w:bookmarkEnd w:id="15"/>
      <w:bookmarkStart w:id="16" w:name="EB4c1fb06a5d8440e6a846619fe829c5f4"/>
      <w:bookmarkEnd w:id="16"/>
    </w:p>
    <w:p>
      <w:pPr>
        <w:pStyle w:val="44"/>
        <w:spacing w:line="440" w:lineRule="exact"/>
        <w:jc w:val="center"/>
        <w:rPr>
          <w:b/>
          <w:sz w:val="32"/>
          <w:szCs w:val="32"/>
          <w:highlight w:val="none"/>
        </w:rPr>
      </w:pPr>
      <w:bookmarkStart w:id="17" w:name="_Toc484268464"/>
      <w:r>
        <w:rPr>
          <w:rFonts w:hint="eastAsia"/>
          <w:b/>
          <w:sz w:val="32"/>
          <w:szCs w:val="32"/>
          <w:highlight w:val="none"/>
        </w:rPr>
        <w:t>三、招标文件</w:t>
      </w:r>
      <w:bookmarkEnd w:id="17"/>
    </w:p>
    <w:p>
      <w:pPr>
        <w:tabs>
          <w:tab w:val="left" w:pos="7665"/>
        </w:tabs>
        <w:topLinePunct/>
        <w:spacing w:line="440" w:lineRule="exact"/>
        <w:ind w:left="472"/>
        <w:outlineLvl w:val="3"/>
        <w:rPr>
          <w:rFonts w:ascii="宋体" w:hAnsi="宋体"/>
          <w:b/>
          <w:sz w:val="24"/>
          <w:highlight w:val="none"/>
        </w:rPr>
      </w:pPr>
      <w:r>
        <w:rPr>
          <w:rFonts w:hint="eastAsia" w:ascii="宋体" w:hAnsi="宋体"/>
          <w:b/>
          <w:sz w:val="24"/>
          <w:highlight w:val="none"/>
        </w:rPr>
        <w:t>6．招标文件的构成</w:t>
      </w:r>
    </w:p>
    <w:p>
      <w:pPr>
        <w:tabs>
          <w:tab w:val="left" w:pos="7665"/>
        </w:tabs>
        <w:spacing w:line="440" w:lineRule="exact"/>
        <w:ind w:firstLine="480" w:firstLineChars="200"/>
        <w:rPr>
          <w:rFonts w:ascii="宋体" w:hAnsi="宋体"/>
          <w:color w:val="FF0000"/>
          <w:sz w:val="24"/>
          <w:highlight w:val="none"/>
        </w:rPr>
      </w:pPr>
      <w:r>
        <w:rPr>
          <w:rFonts w:hint="eastAsia" w:ascii="宋体" w:hAnsi="宋体"/>
          <w:sz w:val="24"/>
          <w:highlight w:val="none"/>
        </w:rPr>
        <w:t>招标文件是供应商准备投标文件和参加投标的依据，同时也是评标的重要依据，具有准法律文件性质。招标文件用以阐明招标项目所需的资质、技术、服务及报价等要求、招标投标程序、有关规定和注意事项以及合同主要条款等。本招标文件包括: 投标邀请、投标人须知、投标文件格式、招标项目技术和服务及其他要求、评标办法、政府采购合同（样例）等。</w:t>
      </w:r>
    </w:p>
    <w:p>
      <w:pPr>
        <w:tabs>
          <w:tab w:val="left" w:pos="7665"/>
        </w:tabs>
        <w:topLinePunct/>
        <w:spacing w:line="440" w:lineRule="exact"/>
        <w:ind w:left="472"/>
        <w:outlineLvl w:val="3"/>
        <w:rPr>
          <w:rFonts w:ascii="宋体" w:hAnsi="宋体"/>
          <w:b/>
          <w:sz w:val="24"/>
          <w:highlight w:val="none"/>
        </w:rPr>
      </w:pPr>
      <w:r>
        <w:rPr>
          <w:rFonts w:hint="eastAsia" w:ascii="宋体" w:hAnsi="宋体"/>
          <w:b/>
          <w:sz w:val="24"/>
          <w:highlight w:val="none"/>
        </w:rPr>
        <w:t>7. 招标文件的澄清和修改</w:t>
      </w:r>
    </w:p>
    <w:p>
      <w:pPr>
        <w:tabs>
          <w:tab w:val="left" w:pos="7665"/>
        </w:tabs>
        <w:spacing w:line="440" w:lineRule="exact"/>
        <w:ind w:firstLine="480" w:firstLineChars="200"/>
        <w:rPr>
          <w:rFonts w:ascii="宋体" w:hAnsi="宋体"/>
          <w:sz w:val="24"/>
          <w:highlight w:val="none"/>
        </w:rPr>
      </w:pPr>
      <w:r>
        <w:rPr>
          <w:rFonts w:hint="eastAsia" w:ascii="宋体" w:hAnsi="宋体"/>
          <w:sz w:val="24"/>
          <w:highlight w:val="none"/>
        </w:rPr>
        <w:t>7.1 采购人、采购代理机构可以依法对招标文件进行澄清或者修改。</w:t>
      </w:r>
    </w:p>
    <w:p>
      <w:pPr>
        <w:tabs>
          <w:tab w:val="left" w:pos="7665"/>
        </w:tabs>
        <w:spacing w:line="440" w:lineRule="exact"/>
        <w:ind w:firstLine="480" w:firstLineChars="200"/>
        <w:rPr>
          <w:rFonts w:ascii="宋体" w:hAnsi="宋体"/>
          <w:sz w:val="24"/>
          <w:highlight w:val="none"/>
        </w:rPr>
      </w:pPr>
      <w:r>
        <w:rPr>
          <w:rFonts w:hint="eastAsia" w:ascii="宋体" w:hAnsi="宋体"/>
          <w:sz w:val="24"/>
          <w:highlight w:val="none"/>
        </w:rPr>
        <w:t>7.2 采购人、采购代理机构对已发出的招标文件进行澄清或者修改，在</w:t>
      </w:r>
      <w:r>
        <w:rPr>
          <w:rFonts w:hint="eastAsia" w:ascii="宋体" w:hAnsi="宋体" w:cs="宋体"/>
          <w:sz w:val="24"/>
          <w:u w:val="single"/>
          <w:lang w:val="zh-CN"/>
        </w:rPr>
        <w:t>眉山市政府采购网、四川政府采购网(http://www.ccgp-sichuan.gov.cn)、四川中岚工程项目管理有限公司官网（http://www.sczlgl.com）</w:t>
      </w:r>
      <w:r>
        <w:rPr>
          <w:rFonts w:hint="eastAsia" w:ascii="宋体" w:hAnsi="宋体"/>
          <w:sz w:val="24"/>
          <w:highlight w:val="none"/>
        </w:rPr>
        <w:t>发布。澄清或者修改的内容为招标文件的组成部分，澄清或者修改的内容可能影响投标文件、资格预审申请文件编制的，采购人或者采购代理机构发布澄清公告的时间，应当在投标截止时间至少</w:t>
      </w:r>
      <w:r>
        <w:rPr>
          <w:rFonts w:hint="eastAsia" w:ascii="宋体" w:hAnsi="宋体"/>
          <w:sz w:val="24"/>
          <w:highlight w:val="none"/>
          <w:lang w:val="en-US" w:eastAsia="zh-CN"/>
        </w:rPr>
        <w:t>15</w:t>
      </w:r>
      <w:r>
        <w:rPr>
          <w:rFonts w:hint="eastAsia" w:ascii="宋体" w:hAnsi="宋体"/>
          <w:sz w:val="24"/>
          <w:highlight w:val="none"/>
        </w:rPr>
        <w:t>日前、提交资格预审申请文件截止时间至少３日前；不足上述时间的，应当顺延提交投标文件、资格预审申请文件的截止时间。</w:t>
      </w:r>
    </w:p>
    <w:p>
      <w:pPr>
        <w:tabs>
          <w:tab w:val="left" w:pos="7665"/>
        </w:tabs>
        <w:topLinePunct/>
        <w:spacing w:line="440" w:lineRule="exact"/>
        <w:ind w:firstLine="480" w:firstLineChars="200"/>
        <w:rPr>
          <w:rFonts w:ascii="宋体" w:hAnsi="宋体"/>
          <w:sz w:val="24"/>
          <w:highlight w:val="none"/>
        </w:rPr>
      </w:pPr>
      <w:r>
        <w:rPr>
          <w:rFonts w:hint="eastAsia" w:ascii="宋体" w:hAnsi="宋体"/>
          <w:sz w:val="24"/>
          <w:highlight w:val="none"/>
        </w:rPr>
        <w:t>7.3 投标人认为需要对招标文件进行澄清或者修改的，可以以书面形式向采购人或采购代理机构提出申请，但采购人或采购代理机构可以决定是否采纳投标人的申请事项。对采购文件中的特殊条件、技术、服务及其他要求、评分细则向采购人提出；对采购过程和程序等内容向采购代理机构提出。</w:t>
      </w:r>
    </w:p>
    <w:p>
      <w:pPr>
        <w:tabs>
          <w:tab w:val="left" w:pos="7665"/>
        </w:tabs>
        <w:topLinePunct/>
        <w:spacing w:line="440" w:lineRule="exact"/>
        <w:ind w:firstLine="480" w:firstLineChars="200"/>
        <w:rPr>
          <w:rFonts w:ascii="宋体" w:hAnsi="宋体"/>
          <w:sz w:val="24"/>
          <w:highlight w:val="none"/>
        </w:rPr>
      </w:pPr>
      <w:r>
        <w:rPr>
          <w:rFonts w:hint="eastAsia" w:ascii="宋体" w:hAnsi="宋体"/>
          <w:sz w:val="24"/>
          <w:highlight w:val="none"/>
        </w:rPr>
        <w:t>7.4 投标人发现招标文件不合理或者有误的，须在投标截止日15天前、以书面形式要求采购人、采购代理机构澄清。没有书面澄清要求，又参与了该项目投标的供应商将被视为完全认同招标文件。</w:t>
      </w:r>
    </w:p>
    <w:p>
      <w:pPr>
        <w:tabs>
          <w:tab w:val="left" w:pos="7665"/>
        </w:tabs>
        <w:topLinePunct/>
        <w:spacing w:line="440" w:lineRule="exact"/>
        <w:ind w:firstLine="482" w:firstLineChars="200"/>
        <w:rPr>
          <w:rFonts w:ascii="宋体" w:hAnsi="宋体"/>
          <w:b/>
          <w:sz w:val="24"/>
          <w:highlight w:val="none"/>
        </w:rPr>
      </w:pPr>
      <w:r>
        <w:rPr>
          <w:rFonts w:hint="eastAsia" w:ascii="宋体" w:hAnsi="宋体"/>
          <w:b/>
          <w:sz w:val="24"/>
          <w:highlight w:val="none"/>
        </w:rPr>
        <w:t>7.5 投标人不按招标文件规定的时间、网址查看澄清公告所造成的各种后果，由投标人自行负责。</w:t>
      </w:r>
    </w:p>
    <w:p>
      <w:pPr>
        <w:tabs>
          <w:tab w:val="left" w:pos="7665"/>
        </w:tabs>
        <w:topLinePunct/>
        <w:spacing w:line="440" w:lineRule="exact"/>
        <w:ind w:left="472"/>
        <w:outlineLvl w:val="3"/>
        <w:rPr>
          <w:rFonts w:ascii="宋体" w:hAnsi="宋体"/>
          <w:b/>
          <w:sz w:val="24"/>
          <w:highlight w:val="none"/>
        </w:rPr>
      </w:pPr>
      <w:r>
        <w:rPr>
          <w:rFonts w:hint="eastAsia" w:ascii="宋体" w:hAnsi="宋体"/>
          <w:b/>
          <w:sz w:val="24"/>
          <w:highlight w:val="none"/>
        </w:rPr>
        <w:t>8. 答疑会和现场考察</w:t>
      </w:r>
    </w:p>
    <w:p>
      <w:pPr>
        <w:tabs>
          <w:tab w:val="left" w:pos="7665"/>
        </w:tabs>
        <w:spacing w:line="440" w:lineRule="exact"/>
        <w:ind w:firstLine="480" w:firstLineChars="200"/>
        <w:rPr>
          <w:rFonts w:ascii="宋体" w:hAnsi="宋体"/>
          <w:sz w:val="24"/>
          <w:highlight w:val="none"/>
        </w:rPr>
      </w:pPr>
      <w:r>
        <w:rPr>
          <w:rFonts w:hint="eastAsia" w:ascii="宋体" w:hAnsi="宋体"/>
          <w:sz w:val="24"/>
          <w:highlight w:val="none"/>
        </w:rPr>
        <w:t>详见招标人须知前附表。</w:t>
      </w:r>
    </w:p>
    <w:p>
      <w:pPr>
        <w:tabs>
          <w:tab w:val="left" w:pos="7665"/>
        </w:tabs>
        <w:spacing w:line="440" w:lineRule="exact"/>
        <w:rPr>
          <w:rFonts w:ascii="宋体" w:hAnsi="宋体"/>
          <w:sz w:val="24"/>
          <w:highlight w:val="none"/>
        </w:rPr>
      </w:pPr>
    </w:p>
    <w:p>
      <w:pPr>
        <w:pStyle w:val="44"/>
        <w:spacing w:line="440" w:lineRule="exact"/>
        <w:jc w:val="center"/>
        <w:rPr>
          <w:b/>
          <w:sz w:val="32"/>
          <w:szCs w:val="32"/>
          <w:highlight w:val="none"/>
        </w:rPr>
      </w:pPr>
      <w:bookmarkStart w:id="18" w:name="_Toc484268465"/>
      <w:r>
        <w:rPr>
          <w:rFonts w:hint="eastAsia"/>
          <w:b/>
          <w:sz w:val="32"/>
          <w:szCs w:val="32"/>
          <w:highlight w:val="none"/>
        </w:rPr>
        <w:t>四、投标文件</w:t>
      </w:r>
      <w:bookmarkEnd w:id="18"/>
    </w:p>
    <w:p>
      <w:pPr>
        <w:tabs>
          <w:tab w:val="left" w:pos="7665"/>
        </w:tabs>
        <w:topLinePunct/>
        <w:spacing w:line="440" w:lineRule="exact"/>
        <w:ind w:left="472"/>
        <w:outlineLvl w:val="3"/>
        <w:rPr>
          <w:rFonts w:ascii="宋体" w:hAnsi="宋体"/>
          <w:b/>
          <w:sz w:val="24"/>
          <w:highlight w:val="none"/>
        </w:rPr>
      </w:pPr>
    </w:p>
    <w:p>
      <w:pPr>
        <w:tabs>
          <w:tab w:val="left" w:pos="7665"/>
        </w:tabs>
        <w:topLinePunct/>
        <w:spacing w:line="440" w:lineRule="exact"/>
        <w:ind w:left="472"/>
        <w:outlineLvl w:val="3"/>
        <w:rPr>
          <w:rFonts w:ascii="宋体" w:hAnsi="宋体"/>
          <w:b/>
          <w:sz w:val="24"/>
          <w:highlight w:val="none"/>
        </w:rPr>
      </w:pPr>
      <w:r>
        <w:rPr>
          <w:rFonts w:hint="eastAsia" w:ascii="宋体" w:hAnsi="宋体"/>
          <w:b/>
          <w:sz w:val="24"/>
          <w:highlight w:val="none"/>
        </w:rPr>
        <w:t>9．投标文件的语言</w:t>
      </w:r>
      <w:r>
        <w:rPr>
          <w:rFonts w:hint="eastAsia"/>
          <w:b/>
          <w:sz w:val="24"/>
          <w:szCs w:val="24"/>
          <w:highlight w:val="none"/>
        </w:rPr>
        <w:t>（实质性要求）</w:t>
      </w:r>
    </w:p>
    <w:p>
      <w:pPr>
        <w:tabs>
          <w:tab w:val="left" w:pos="1134"/>
        </w:tabs>
        <w:spacing w:line="440" w:lineRule="exact"/>
        <w:ind w:firstLine="480" w:firstLineChars="200"/>
        <w:rPr>
          <w:rFonts w:ascii="宋体" w:hAnsi="宋体"/>
          <w:sz w:val="24"/>
          <w:highlight w:val="none"/>
        </w:rPr>
      </w:pPr>
      <w:r>
        <w:rPr>
          <w:rFonts w:hint="eastAsia" w:ascii="宋体" w:hAnsi="宋体"/>
          <w:sz w:val="24"/>
          <w:highlight w:val="none"/>
        </w:rPr>
        <w:t>9.1 投标人提交的投标文件以及投标人与采购人、采购代理机构就有关投标的所有来往书面文件均须使用中文。投标文件中如附有外文资料，必须逐一对应翻译成中文并加盖投标人印章后附在相关外文资料后面，否则，所提供的外文资料将被视为未提供该资料。（说明：供应商的法定代表人为外籍人士的，法定代表人的签字和护照除外。）</w:t>
      </w:r>
    </w:p>
    <w:p>
      <w:pPr>
        <w:tabs>
          <w:tab w:val="left" w:pos="1134"/>
        </w:tabs>
        <w:spacing w:line="440" w:lineRule="exact"/>
        <w:ind w:firstLine="480" w:firstLineChars="200"/>
        <w:rPr>
          <w:rFonts w:ascii="宋体" w:hAnsi="宋体"/>
          <w:sz w:val="24"/>
          <w:highlight w:val="none"/>
        </w:rPr>
      </w:pPr>
      <w:r>
        <w:rPr>
          <w:rFonts w:hint="eastAsia" w:ascii="宋体" w:hAnsi="宋体"/>
          <w:sz w:val="24"/>
          <w:highlight w:val="none"/>
        </w:rPr>
        <w:t>9.2 翻译的中文资料与外文资料如果出现差异和矛盾时，以中文为准。涉嫌虚假响应的按照相关法律法规处理。</w:t>
      </w:r>
    </w:p>
    <w:p>
      <w:pPr>
        <w:tabs>
          <w:tab w:val="left" w:pos="7665"/>
        </w:tabs>
        <w:topLinePunct/>
        <w:spacing w:line="440" w:lineRule="exact"/>
        <w:ind w:left="472"/>
        <w:outlineLvl w:val="3"/>
        <w:rPr>
          <w:rFonts w:ascii="宋体" w:hAnsi="宋体"/>
          <w:sz w:val="24"/>
          <w:highlight w:val="none"/>
        </w:rPr>
      </w:pPr>
      <w:r>
        <w:rPr>
          <w:rFonts w:hint="eastAsia" w:ascii="宋体" w:hAnsi="宋体"/>
          <w:sz w:val="24"/>
          <w:highlight w:val="none"/>
        </w:rPr>
        <w:t>10．计量单位</w:t>
      </w:r>
    </w:p>
    <w:p>
      <w:pPr>
        <w:spacing w:line="440" w:lineRule="exact"/>
        <w:ind w:firstLine="470" w:firstLineChars="196"/>
        <w:rPr>
          <w:rFonts w:ascii="宋体" w:hAnsi="宋体"/>
          <w:sz w:val="24"/>
          <w:highlight w:val="none"/>
        </w:rPr>
      </w:pPr>
      <w:r>
        <w:rPr>
          <w:rFonts w:hint="eastAsia" w:ascii="宋体" w:hAnsi="宋体"/>
          <w:sz w:val="24"/>
          <w:highlight w:val="none"/>
        </w:rPr>
        <w:t>除招标文件中另有规定外，本次采购项目所有合同项下的投标均采用国家法定的计量单位。</w:t>
      </w:r>
    </w:p>
    <w:p>
      <w:pPr>
        <w:tabs>
          <w:tab w:val="left" w:pos="7665"/>
        </w:tabs>
        <w:topLinePunct/>
        <w:spacing w:line="440" w:lineRule="exact"/>
        <w:outlineLvl w:val="3"/>
        <w:rPr>
          <w:rFonts w:ascii="宋体" w:hAnsi="宋体"/>
          <w:sz w:val="24"/>
          <w:highlight w:val="none"/>
        </w:rPr>
      </w:pPr>
      <w:r>
        <w:rPr>
          <w:rFonts w:hint="eastAsia" w:ascii="宋体" w:hAnsi="宋体"/>
          <w:sz w:val="24"/>
          <w:highlight w:val="none"/>
        </w:rPr>
        <w:t xml:space="preserve">    11. 投标货币</w:t>
      </w:r>
    </w:p>
    <w:p>
      <w:pPr>
        <w:tabs>
          <w:tab w:val="left" w:pos="7665"/>
        </w:tabs>
        <w:spacing w:line="440" w:lineRule="exact"/>
        <w:ind w:left="13" w:hanging="118"/>
        <w:rPr>
          <w:rFonts w:ascii="宋体" w:hAnsi="宋体"/>
          <w:sz w:val="24"/>
          <w:highlight w:val="none"/>
        </w:rPr>
      </w:pPr>
      <w:r>
        <w:rPr>
          <w:rFonts w:hint="eastAsia" w:ascii="宋体" w:hAnsi="宋体"/>
          <w:sz w:val="24"/>
          <w:highlight w:val="none"/>
        </w:rPr>
        <w:t xml:space="preserve">     本次招标项目的投标均以人民币报价。</w:t>
      </w:r>
    </w:p>
    <w:p>
      <w:pPr>
        <w:tabs>
          <w:tab w:val="left" w:pos="7665"/>
        </w:tabs>
        <w:topLinePunct/>
        <w:spacing w:line="440" w:lineRule="exact"/>
        <w:outlineLvl w:val="3"/>
        <w:rPr>
          <w:rFonts w:ascii="宋体" w:hAnsi="宋体"/>
          <w:b/>
          <w:sz w:val="24"/>
          <w:highlight w:val="none"/>
        </w:rPr>
      </w:pPr>
      <w:r>
        <w:rPr>
          <w:rFonts w:hint="eastAsia" w:ascii="宋体" w:hAnsi="宋体"/>
          <w:b/>
          <w:sz w:val="24"/>
          <w:highlight w:val="none"/>
        </w:rPr>
        <w:t xml:space="preserve">    12. 联合体投标</w:t>
      </w:r>
      <w:r>
        <w:rPr>
          <w:rFonts w:hint="eastAsia"/>
          <w:b/>
          <w:sz w:val="24"/>
          <w:szCs w:val="24"/>
          <w:highlight w:val="none"/>
        </w:rPr>
        <w:t>（实质性要求）</w:t>
      </w:r>
    </w:p>
    <w:p>
      <w:pPr>
        <w:spacing w:line="440" w:lineRule="exact"/>
        <w:ind w:firstLine="480" w:firstLineChars="200"/>
        <w:rPr>
          <w:rFonts w:ascii="宋体" w:hAnsi="宋体"/>
          <w:sz w:val="24"/>
          <w:highlight w:val="none"/>
        </w:rPr>
      </w:pPr>
      <w:r>
        <w:rPr>
          <w:rFonts w:hint="eastAsia" w:ascii="宋体" w:hAnsi="宋体"/>
          <w:sz w:val="24"/>
          <w:highlight w:val="none"/>
        </w:rPr>
        <w:t>12.1 两个以上供应商可以组成一个联合体投标，以一个投标人的身份投标。以联合体形式参加投标的，联合体各方均应当符合《中华人民共和国政府采购法》第二十二条第一款规定的条件。</w:t>
      </w:r>
    </w:p>
    <w:p>
      <w:pPr>
        <w:spacing w:line="440" w:lineRule="exact"/>
        <w:ind w:firstLine="480" w:firstLineChars="200"/>
        <w:rPr>
          <w:rFonts w:ascii="宋体" w:hAnsi="宋体"/>
          <w:sz w:val="24"/>
          <w:highlight w:val="none"/>
        </w:rPr>
      </w:pPr>
      <w:r>
        <w:rPr>
          <w:rFonts w:hint="eastAsia" w:ascii="宋体" w:hAnsi="宋体"/>
          <w:sz w:val="24"/>
          <w:highlight w:val="none"/>
        </w:rPr>
        <w:t>12.2 联合体各方之间应当签订联合体投标协议，明确约定联合体各方承担的工作和相应的责任，并按招标文件要求提交采购人或采购代理机构。</w:t>
      </w:r>
    </w:p>
    <w:p>
      <w:pPr>
        <w:spacing w:line="440" w:lineRule="exact"/>
        <w:ind w:firstLine="480" w:firstLineChars="200"/>
        <w:rPr>
          <w:rFonts w:ascii="宋体" w:hAnsi="宋体"/>
          <w:sz w:val="24"/>
          <w:highlight w:val="none"/>
        </w:rPr>
      </w:pPr>
      <w:r>
        <w:rPr>
          <w:rFonts w:hint="eastAsia" w:ascii="宋体" w:hAnsi="宋体"/>
          <w:sz w:val="24"/>
          <w:highlight w:val="none"/>
        </w:rPr>
        <w:t>12.3 联合体应当确定其中一个单位为投标的全权代表（牵头方），负责参加投标的一切事务，并承担投标及履约中应承担的全部责任与义务。</w:t>
      </w:r>
    </w:p>
    <w:p>
      <w:pPr>
        <w:spacing w:line="440" w:lineRule="exact"/>
        <w:ind w:firstLine="480" w:firstLineChars="200"/>
        <w:rPr>
          <w:rFonts w:ascii="宋体" w:hAnsi="宋体"/>
          <w:sz w:val="24"/>
          <w:highlight w:val="none"/>
        </w:rPr>
      </w:pPr>
      <w:r>
        <w:rPr>
          <w:rFonts w:hint="eastAsia" w:ascii="宋体" w:hAnsi="宋体"/>
          <w:sz w:val="24"/>
          <w:highlight w:val="none"/>
        </w:rPr>
        <w:t>12.4 联合体各方应当共同与采购人签订采购合同，就采购合同约定的事项对采购人承担连带责任。</w:t>
      </w:r>
    </w:p>
    <w:p>
      <w:pPr>
        <w:spacing w:line="440" w:lineRule="exact"/>
        <w:ind w:firstLine="480" w:firstLineChars="200"/>
        <w:rPr>
          <w:rFonts w:ascii="宋体" w:hAnsi="宋体"/>
          <w:b/>
          <w:sz w:val="24"/>
          <w:highlight w:val="none"/>
        </w:rPr>
      </w:pPr>
      <w:r>
        <w:rPr>
          <w:rFonts w:hint="eastAsia" w:ascii="宋体" w:hAnsi="宋体"/>
          <w:sz w:val="24"/>
          <w:highlight w:val="none"/>
        </w:rPr>
        <w:t>12.5 联合体中有同类资质的供应商按照联合体分工承担相同工作的，应当按照资质等级较低的供应商确定资质等级。</w:t>
      </w:r>
      <w:r>
        <w:rPr>
          <w:rFonts w:hint="eastAsia" w:ascii="宋体" w:hAnsi="宋体"/>
          <w:sz w:val="24"/>
          <w:highlight w:val="none"/>
        </w:rPr>
        <w:br w:type="textWrapping"/>
      </w:r>
      <w:r>
        <w:rPr>
          <w:rFonts w:hint="eastAsia" w:ascii="宋体" w:hAnsi="宋体"/>
          <w:b/>
          <w:sz w:val="24"/>
          <w:highlight w:val="none"/>
        </w:rPr>
        <w:t xml:space="preserve">    13. 知识产权</w:t>
      </w:r>
    </w:p>
    <w:p>
      <w:pPr>
        <w:pStyle w:val="9"/>
        <w:spacing w:line="440" w:lineRule="exact"/>
        <w:ind w:firstLine="480" w:firstLineChars="200"/>
        <w:rPr>
          <w:rFonts w:hAnsi="宋体"/>
          <w:sz w:val="24"/>
          <w:szCs w:val="24"/>
          <w:highlight w:val="none"/>
        </w:rPr>
      </w:pPr>
      <w:r>
        <w:rPr>
          <w:rFonts w:hint="eastAsia" w:hAnsi="宋体"/>
          <w:sz w:val="24"/>
          <w:szCs w:val="24"/>
          <w:highlight w:val="none"/>
        </w:rPr>
        <w:t>13.1 投标人在本项目使用的任何产品和服务（包括部分使用）时，不得产生因第三方提出侵犯其专利权、商标权或其它知识产权而引起的法律和经济纠纷，如因专利权、商标权或其它知识产权而引起法律和经济纠纷，由投标人承担所有相关责任。</w:t>
      </w:r>
    </w:p>
    <w:p>
      <w:pPr>
        <w:pStyle w:val="9"/>
        <w:spacing w:line="440" w:lineRule="exact"/>
        <w:ind w:firstLine="480" w:firstLineChars="200"/>
        <w:rPr>
          <w:rFonts w:hAnsi="宋体"/>
          <w:sz w:val="24"/>
          <w:szCs w:val="24"/>
          <w:highlight w:val="none"/>
        </w:rPr>
      </w:pPr>
      <w:r>
        <w:rPr>
          <w:rFonts w:hint="eastAsia" w:hAnsi="宋体"/>
          <w:sz w:val="24"/>
          <w:szCs w:val="24"/>
          <w:highlight w:val="none"/>
        </w:rPr>
        <w:t>13.2 采购人享有本项目实施过程中产生的知识成果及知识产权。</w:t>
      </w:r>
    </w:p>
    <w:p>
      <w:pPr>
        <w:spacing w:line="440" w:lineRule="exact"/>
        <w:ind w:firstLine="480" w:firstLineChars="200"/>
        <w:rPr>
          <w:rFonts w:ascii="宋体" w:hAnsi="宋体"/>
          <w:sz w:val="24"/>
          <w:highlight w:val="none"/>
        </w:rPr>
      </w:pPr>
      <w:r>
        <w:rPr>
          <w:rFonts w:hint="eastAsia" w:ascii="宋体" w:hAnsi="宋体"/>
          <w:sz w:val="24"/>
          <w:highlight w:val="none"/>
        </w:rPr>
        <w:t>13.3 投标人如欲在项目实施过程中采用自有知识成果，使用该知识成果后，投标人需向采购人提供开发接口和开发手册等技术文档，并无限期技术支持，采购人享有永久使用权（含采购人委托第三方在该项目后续开发的使用权）。</w:t>
      </w:r>
    </w:p>
    <w:p>
      <w:pPr>
        <w:spacing w:line="440" w:lineRule="exact"/>
        <w:ind w:firstLine="460" w:firstLineChars="192"/>
        <w:rPr>
          <w:rFonts w:ascii="宋体" w:hAnsi="宋体"/>
          <w:sz w:val="24"/>
          <w:highlight w:val="none"/>
        </w:rPr>
      </w:pPr>
      <w:r>
        <w:rPr>
          <w:rFonts w:hint="eastAsia" w:ascii="宋体" w:hAnsi="宋体"/>
          <w:sz w:val="24"/>
          <w:highlight w:val="none"/>
        </w:rPr>
        <w:t xml:space="preserve">13.4 如采用投标人所不拥有的知识产权，则在投标报价中必须包括合法获取该知识产权的相关费用。 </w:t>
      </w:r>
    </w:p>
    <w:p>
      <w:pPr>
        <w:spacing w:line="440" w:lineRule="exact"/>
        <w:ind w:firstLine="463" w:firstLineChars="192"/>
        <w:rPr>
          <w:rFonts w:ascii="宋体" w:hAnsi="宋体"/>
          <w:b/>
          <w:color w:val="auto"/>
          <w:sz w:val="24"/>
          <w:highlight w:val="none"/>
        </w:rPr>
      </w:pPr>
      <w:r>
        <w:rPr>
          <w:rFonts w:hint="eastAsia" w:ascii="宋体" w:hAnsi="宋体"/>
          <w:b/>
          <w:color w:val="auto"/>
          <w:sz w:val="24"/>
          <w:szCs w:val="24"/>
          <w:highlight w:val="none"/>
        </w:rPr>
        <w:t>未单独提供承诺视同为完全响应该条内容，采购人不再就此增加任何费用，如因专利权、商标权或其它知识产权而引起法律和经济纠纷，由投标人承担所有相关责任。</w:t>
      </w:r>
    </w:p>
    <w:p>
      <w:pPr>
        <w:tabs>
          <w:tab w:val="left" w:pos="7665"/>
        </w:tabs>
        <w:topLinePunct/>
        <w:spacing w:line="440" w:lineRule="exact"/>
        <w:ind w:firstLine="480" w:firstLineChars="200"/>
        <w:outlineLvl w:val="3"/>
        <w:rPr>
          <w:rFonts w:ascii="宋体" w:hAnsi="宋体"/>
          <w:b/>
          <w:sz w:val="24"/>
          <w:highlight w:val="none"/>
        </w:rPr>
      </w:pPr>
      <w:r>
        <w:rPr>
          <w:rFonts w:hint="eastAsia" w:ascii="宋体" w:hAnsi="宋体"/>
          <w:sz w:val="24"/>
          <w:highlight w:val="none"/>
        </w:rPr>
        <w:t>14.</w:t>
      </w:r>
      <w:r>
        <w:rPr>
          <w:rFonts w:hint="eastAsia" w:ascii="宋体" w:hAnsi="宋体"/>
          <w:b/>
          <w:sz w:val="24"/>
          <w:highlight w:val="none"/>
        </w:rPr>
        <w:t>投标文件由以下内容组成</w:t>
      </w:r>
    </w:p>
    <w:p>
      <w:pPr>
        <w:spacing w:line="440" w:lineRule="exact"/>
        <w:ind w:firstLine="460" w:firstLineChars="192"/>
        <w:rPr>
          <w:rFonts w:ascii="宋体" w:hAnsi="宋体"/>
          <w:sz w:val="24"/>
          <w:highlight w:val="none"/>
        </w:rPr>
      </w:pPr>
      <w:r>
        <w:rPr>
          <w:rFonts w:hint="eastAsia" w:ascii="宋体" w:hAnsi="宋体"/>
          <w:sz w:val="24"/>
          <w:highlight w:val="none"/>
        </w:rPr>
        <w:t>详见第三章投标文件格式</w:t>
      </w:r>
    </w:p>
    <w:p>
      <w:pPr>
        <w:tabs>
          <w:tab w:val="left" w:pos="7665"/>
        </w:tabs>
        <w:topLinePunct/>
        <w:spacing w:line="440" w:lineRule="exact"/>
        <w:outlineLvl w:val="3"/>
        <w:rPr>
          <w:rFonts w:ascii="宋体" w:hAnsi="宋体"/>
          <w:b/>
          <w:sz w:val="24"/>
          <w:highlight w:val="none"/>
        </w:rPr>
      </w:pPr>
      <w:r>
        <w:rPr>
          <w:rFonts w:hint="eastAsia" w:ascii="宋体" w:hAnsi="宋体"/>
          <w:b/>
          <w:sz w:val="24"/>
          <w:highlight w:val="none"/>
        </w:rPr>
        <w:t xml:space="preserve">    15. 投标文件格式</w:t>
      </w:r>
    </w:p>
    <w:p>
      <w:pPr>
        <w:tabs>
          <w:tab w:val="left" w:pos="7665"/>
        </w:tabs>
        <w:spacing w:line="440" w:lineRule="exact"/>
        <w:ind w:left="13" w:leftChars="6" w:firstLine="480" w:firstLineChars="200"/>
        <w:rPr>
          <w:rFonts w:ascii="宋体" w:hAnsi="宋体"/>
          <w:sz w:val="24"/>
          <w:highlight w:val="none"/>
        </w:rPr>
      </w:pPr>
      <w:r>
        <w:rPr>
          <w:rFonts w:hint="eastAsia" w:ascii="宋体" w:hAnsi="宋体"/>
          <w:sz w:val="24"/>
          <w:highlight w:val="none"/>
        </w:rPr>
        <w:t>15.1 投标人应执行投标文件格式的规定要求。</w:t>
      </w:r>
    </w:p>
    <w:p>
      <w:pPr>
        <w:tabs>
          <w:tab w:val="left" w:pos="7665"/>
        </w:tabs>
        <w:spacing w:line="440" w:lineRule="exact"/>
        <w:ind w:left="13" w:leftChars="6" w:firstLine="480" w:firstLineChars="200"/>
        <w:rPr>
          <w:rFonts w:ascii="宋体" w:hAnsi="宋体"/>
          <w:sz w:val="24"/>
          <w:highlight w:val="none"/>
        </w:rPr>
      </w:pPr>
      <w:r>
        <w:rPr>
          <w:rFonts w:hint="eastAsia" w:ascii="宋体" w:hAnsi="宋体"/>
          <w:sz w:val="24"/>
          <w:highlight w:val="none"/>
        </w:rPr>
        <w:t>15.2没有格式要求的由投标人自行编写。</w:t>
      </w:r>
    </w:p>
    <w:p>
      <w:pPr>
        <w:tabs>
          <w:tab w:val="left" w:pos="7665"/>
        </w:tabs>
        <w:topLinePunct/>
        <w:spacing w:line="440" w:lineRule="exact"/>
        <w:ind w:firstLine="472" w:firstLineChars="196"/>
        <w:outlineLvl w:val="3"/>
        <w:rPr>
          <w:rFonts w:ascii="宋体" w:hAnsi="宋体"/>
          <w:b/>
          <w:sz w:val="24"/>
          <w:highlight w:val="none"/>
        </w:rPr>
      </w:pPr>
      <w:r>
        <w:rPr>
          <w:rFonts w:hint="eastAsia" w:ascii="宋体" w:hAnsi="宋体"/>
          <w:b/>
          <w:sz w:val="24"/>
          <w:highlight w:val="none"/>
        </w:rPr>
        <w:t>16．投标保证金</w:t>
      </w:r>
    </w:p>
    <w:p>
      <w:pPr>
        <w:tabs>
          <w:tab w:val="left" w:pos="7665"/>
        </w:tabs>
        <w:topLinePunct/>
        <w:spacing w:line="440" w:lineRule="exact"/>
        <w:rPr>
          <w:rFonts w:ascii="宋体" w:hAnsi="宋体"/>
          <w:sz w:val="24"/>
          <w:highlight w:val="none"/>
        </w:rPr>
      </w:pPr>
      <w:r>
        <w:rPr>
          <w:rFonts w:hint="eastAsia" w:ascii="宋体" w:hAnsi="宋体"/>
          <w:sz w:val="24"/>
          <w:highlight w:val="none"/>
        </w:rPr>
        <w:t xml:space="preserve">    本项目不收取投标保证金</w:t>
      </w:r>
    </w:p>
    <w:p>
      <w:pPr>
        <w:tabs>
          <w:tab w:val="left" w:pos="7665"/>
        </w:tabs>
        <w:topLinePunct/>
        <w:spacing w:line="440" w:lineRule="exact"/>
        <w:ind w:firstLine="472" w:firstLineChars="196"/>
        <w:outlineLvl w:val="3"/>
        <w:rPr>
          <w:rFonts w:ascii="宋体" w:hAnsi="宋体"/>
          <w:b/>
          <w:sz w:val="24"/>
          <w:highlight w:val="none"/>
        </w:rPr>
      </w:pPr>
      <w:r>
        <w:rPr>
          <w:rFonts w:hint="eastAsia" w:ascii="宋体" w:hAnsi="宋体"/>
          <w:b/>
          <w:sz w:val="24"/>
          <w:highlight w:val="none"/>
        </w:rPr>
        <w:t>17．投标有效期</w:t>
      </w:r>
      <w:r>
        <w:rPr>
          <w:rFonts w:hint="eastAsia"/>
          <w:b/>
          <w:sz w:val="24"/>
          <w:szCs w:val="24"/>
          <w:highlight w:val="none"/>
        </w:rPr>
        <w:t>（实质性要求）</w:t>
      </w:r>
    </w:p>
    <w:p>
      <w:pPr>
        <w:tabs>
          <w:tab w:val="left" w:pos="7665"/>
        </w:tabs>
        <w:spacing w:line="440" w:lineRule="exact"/>
        <w:ind w:left="13" w:leftChars="6" w:firstLine="482" w:firstLineChars="200"/>
        <w:rPr>
          <w:rFonts w:ascii="宋体" w:hAnsi="宋体"/>
          <w:b/>
          <w:sz w:val="24"/>
          <w:highlight w:val="none"/>
        </w:rPr>
      </w:pPr>
      <w:r>
        <w:rPr>
          <w:rFonts w:hint="eastAsia" w:ascii="宋体" w:hAnsi="宋体"/>
          <w:b/>
          <w:sz w:val="24"/>
          <w:highlight w:val="none"/>
        </w:rPr>
        <w:t>17.1 本项目投标有效期为投标截止之日起90天。投标人投标文件中必须载明投标有效期，投标文件中载明的投标有效期可以长于招标文件规定的期限，但不得短于招标文件规定的期限。否则，其投标文件将作为无效投标处理。</w:t>
      </w:r>
    </w:p>
    <w:p>
      <w:pPr>
        <w:tabs>
          <w:tab w:val="left" w:pos="7665"/>
        </w:tabs>
        <w:spacing w:line="440" w:lineRule="exact"/>
        <w:ind w:left="13" w:leftChars="6" w:firstLine="360" w:firstLineChars="150"/>
        <w:rPr>
          <w:rFonts w:ascii="宋体" w:hAnsi="宋体"/>
          <w:sz w:val="24"/>
          <w:highlight w:val="none"/>
        </w:rPr>
      </w:pPr>
      <w:r>
        <w:rPr>
          <w:rFonts w:hint="eastAsia" w:ascii="宋体" w:hAnsi="宋体"/>
          <w:sz w:val="24"/>
          <w:highlight w:val="none"/>
        </w:rPr>
        <w:t xml:space="preserve"> 17.2 因不可抗力事件，采购人可于投标有效期届满之前与投标人协商延长投标有效期。投标人拒绝延长投标有效期的，不得再参与该项目后续采购活动，但由此给投标人造成的损失，采购人可以自主决定是否可以给予适当补偿。投标人同意延长投标有效期的，不能修改投标文件。 </w:t>
      </w:r>
    </w:p>
    <w:p>
      <w:pPr>
        <w:tabs>
          <w:tab w:val="left" w:pos="7665"/>
        </w:tabs>
        <w:spacing w:line="440" w:lineRule="exact"/>
        <w:ind w:left="13" w:leftChars="6" w:firstLine="360" w:firstLineChars="150"/>
        <w:rPr>
          <w:rFonts w:ascii="宋体" w:hAnsi="宋体"/>
          <w:bCs/>
          <w:sz w:val="24"/>
          <w:szCs w:val="20"/>
          <w:highlight w:val="none"/>
        </w:rPr>
      </w:pPr>
      <w:r>
        <w:rPr>
          <w:rFonts w:hint="eastAsia" w:ascii="宋体" w:hAnsi="宋体"/>
          <w:sz w:val="24"/>
          <w:highlight w:val="none"/>
        </w:rPr>
        <w:t>17.3 因采购人采购需求作出必要调整，采购人可于投标有效期届满之前与投标人协商延长投标有效期。投标人拒绝延长投标有效期的，不得再参与该项目后续采购活动，但由此给投标人造成的损失，采购人应当予以赔偿或者合理补偿。投标人同意延长投标有效期的，不能修改投标文件。</w:t>
      </w:r>
      <w:bookmarkStart w:id="19" w:name="_Toc183582225"/>
      <w:bookmarkStart w:id="20" w:name="_Toc183682362"/>
      <w:bookmarkStart w:id="21" w:name="_Toc217446052"/>
    </w:p>
    <w:p>
      <w:pPr>
        <w:tabs>
          <w:tab w:val="left" w:pos="7665"/>
        </w:tabs>
        <w:topLinePunct/>
        <w:spacing w:line="440" w:lineRule="exact"/>
        <w:ind w:firstLine="482" w:firstLineChars="200"/>
        <w:rPr>
          <w:rFonts w:hAnsi="宋体"/>
          <w:b/>
          <w:kern w:val="24"/>
          <w:sz w:val="24"/>
          <w:highlight w:val="none"/>
        </w:rPr>
      </w:pPr>
      <w:r>
        <w:rPr>
          <w:rFonts w:hint="eastAsia" w:hAnsi="宋体"/>
          <w:b/>
          <w:kern w:val="24"/>
          <w:sz w:val="24"/>
          <w:highlight w:val="none"/>
        </w:rPr>
        <w:t>18．投标文件的印制和签署</w:t>
      </w:r>
      <w:bookmarkEnd w:id="19"/>
      <w:bookmarkEnd w:id="20"/>
      <w:bookmarkEnd w:id="21"/>
    </w:p>
    <w:p>
      <w:pPr>
        <w:tabs>
          <w:tab w:val="left" w:pos="1095"/>
        </w:tabs>
        <w:topLinePunct/>
        <w:spacing w:line="440" w:lineRule="exact"/>
        <w:ind w:firstLine="480" w:firstLineChars="200"/>
        <w:rPr>
          <w:rFonts w:hAnsi="宋体"/>
          <w:kern w:val="24"/>
          <w:sz w:val="24"/>
          <w:highlight w:val="none"/>
        </w:rPr>
      </w:pPr>
      <w:r>
        <w:rPr>
          <w:rFonts w:hint="eastAsia" w:hAnsi="宋体"/>
          <w:kern w:val="24"/>
          <w:sz w:val="24"/>
          <w:highlight w:val="none"/>
        </w:rPr>
        <w:t>18</w:t>
      </w:r>
      <w:r>
        <w:rPr>
          <w:rFonts w:hAnsi="宋体"/>
          <w:kern w:val="24"/>
          <w:sz w:val="24"/>
          <w:highlight w:val="none"/>
        </w:rPr>
        <w:t>.</w:t>
      </w:r>
      <w:r>
        <w:rPr>
          <w:rFonts w:hint="eastAsia" w:hAnsi="宋体"/>
          <w:kern w:val="24"/>
          <w:sz w:val="24"/>
          <w:highlight w:val="none"/>
        </w:rPr>
        <w:t>1 投标人应当准备投标文件正本1份、副本份数见投标须知前附表。投标文件的正本和副本应在其封面右上角清楚地标明“正本”或“副本”字样。若正本和副本有不一致的内容，以正本书面投标文件为准。投标文件副本可采用正本的复印件。</w:t>
      </w:r>
    </w:p>
    <w:p>
      <w:pPr>
        <w:tabs>
          <w:tab w:val="left" w:pos="1095"/>
        </w:tabs>
        <w:topLinePunct/>
        <w:spacing w:line="440" w:lineRule="exact"/>
        <w:ind w:firstLine="480" w:firstLineChars="200"/>
        <w:rPr>
          <w:rFonts w:hAnsi="宋体"/>
          <w:kern w:val="24"/>
          <w:sz w:val="24"/>
          <w:highlight w:val="none"/>
        </w:rPr>
      </w:pPr>
      <w:r>
        <w:rPr>
          <w:rFonts w:hint="eastAsia" w:hAnsi="宋体"/>
          <w:kern w:val="24"/>
          <w:sz w:val="24"/>
          <w:highlight w:val="none"/>
        </w:rPr>
        <w:t>18.2 投标文件的打印和书写应清楚工整，任何行间插字、涂改或增删，必须由投标人的法定代表人或其被授权人签字或盖个人印鉴。字迹潦草、表达不清或可能导致非唯一理解的投标文件可能视为无效投标。</w:t>
      </w:r>
    </w:p>
    <w:p>
      <w:pPr>
        <w:tabs>
          <w:tab w:val="left" w:pos="1080"/>
        </w:tabs>
        <w:topLinePunct/>
        <w:spacing w:line="440" w:lineRule="exact"/>
        <w:ind w:firstLine="480" w:firstLineChars="200"/>
        <w:rPr>
          <w:rFonts w:hAnsi="宋体"/>
          <w:kern w:val="24"/>
          <w:sz w:val="24"/>
          <w:highlight w:val="none"/>
        </w:rPr>
      </w:pPr>
      <w:r>
        <w:rPr>
          <w:rFonts w:hint="eastAsia" w:hAnsi="宋体"/>
          <w:kern w:val="24"/>
          <w:sz w:val="24"/>
          <w:highlight w:val="none"/>
        </w:rPr>
        <w:t>18.3 投标文件正本和副本胶装成册并编目编码。</w:t>
      </w:r>
    </w:p>
    <w:p>
      <w:pPr>
        <w:tabs>
          <w:tab w:val="left" w:pos="1080"/>
        </w:tabs>
        <w:topLinePunct/>
        <w:spacing w:line="440" w:lineRule="exact"/>
        <w:ind w:firstLine="480" w:firstLineChars="200"/>
        <w:rPr>
          <w:rFonts w:hAnsi="宋体"/>
          <w:kern w:val="24"/>
          <w:sz w:val="24"/>
          <w:highlight w:val="none"/>
        </w:rPr>
      </w:pPr>
      <w:r>
        <w:rPr>
          <w:rFonts w:hint="eastAsia" w:hAnsi="宋体"/>
          <w:kern w:val="24"/>
          <w:sz w:val="24"/>
          <w:highlight w:val="none"/>
        </w:rPr>
        <w:t>18.4 投标文件应根据招标文件的要求制作，签署、盖章和内容应完整。</w:t>
      </w:r>
    </w:p>
    <w:p>
      <w:pPr>
        <w:tabs>
          <w:tab w:val="left" w:pos="1080"/>
        </w:tabs>
        <w:topLinePunct/>
        <w:spacing w:line="440" w:lineRule="exact"/>
        <w:ind w:firstLine="480" w:firstLineChars="200"/>
        <w:rPr>
          <w:rFonts w:hAnsi="宋体"/>
          <w:kern w:val="24"/>
          <w:sz w:val="24"/>
          <w:highlight w:val="none"/>
        </w:rPr>
      </w:pPr>
      <w:r>
        <w:rPr>
          <w:rFonts w:hint="eastAsia" w:hAnsi="宋体"/>
          <w:kern w:val="24"/>
          <w:sz w:val="24"/>
          <w:highlight w:val="none"/>
        </w:rPr>
        <w:t>18.5 投标文件的装订应体现节俭、环保原则，不提倡豪华装订。</w:t>
      </w:r>
    </w:p>
    <w:p>
      <w:pPr>
        <w:tabs>
          <w:tab w:val="left" w:pos="7665"/>
        </w:tabs>
        <w:topLinePunct/>
        <w:spacing w:line="440" w:lineRule="exact"/>
        <w:ind w:firstLine="482" w:firstLineChars="200"/>
        <w:outlineLvl w:val="3"/>
        <w:rPr>
          <w:rFonts w:ascii="宋体" w:hAnsi="宋体"/>
          <w:b/>
          <w:sz w:val="24"/>
          <w:highlight w:val="none"/>
        </w:rPr>
      </w:pPr>
      <w:r>
        <w:rPr>
          <w:rFonts w:hint="eastAsia" w:ascii="宋体" w:hAnsi="宋体"/>
          <w:b/>
          <w:sz w:val="24"/>
          <w:highlight w:val="none"/>
        </w:rPr>
        <w:t>19.投标文件的密封和标注</w:t>
      </w:r>
    </w:p>
    <w:p>
      <w:pPr>
        <w:tabs>
          <w:tab w:val="left" w:pos="1080"/>
        </w:tabs>
        <w:topLinePunct/>
        <w:spacing w:line="440" w:lineRule="exact"/>
        <w:ind w:firstLine="480" w:firstLineChars="200"/>
        <w:rPr>
          <w:rFonts w:hAnsi="宋体"/>
          <w:kern w:val="24"/>
          <w:sz w:val="24"/>
          <w:highlight w:val="none"/>
        </w:rPr>
      </w:pPr>
      <w:r>
        <w:rPr>
          <w:rFonts w:hint="eastAsia" w:hAnsi="宋体"/>
          <w:kern w:val="24"/>
          <w:sz w:val="24"/>
          <w:highlight w:val="none"/>
        </w:rPr>
        <w:t>19.1 投标人应在投标文件正本和所有副本的封面上注明投标人名称、招标编号、项目名称及分包号(如有分包)，未分包即只有一个包的在投标文件格式封面分包空格处可以用“1”或“/”标示，也可以不填(空白)。</w:t>
      </w:r>
    </w:p>
    <w:p>
      <w:pPr>
        <w:tabs>
          <w:tab w:val="left" w:pos="1080"/>
        </w:tabs>
        <w:topLinePunct/>
        <w:spacing w:line="440" w:lineRule="exact"/>
        <w:ind w:firstLine="480" w:firstLineChars="200"/>
        <w:rPr>
          <w:rFonts w:hAnsi="宋体"/>
          <w:kern w:val="24"/>
          <w:sz w:val="24"/>
          <w:highlight w:val="none"/>
        </w:rPr>
      </w:pPr>
      <w:r>
        <w:rPr>
          <w:rFonts w:hint="eastAsia" w:hAnsi="宋体"/>
          <w:kern w:val="24"/>
          <w:sz w:val="24"/>
          <w:highlight w:val="none"/>
        </w:rPr>
        <w:t>19.2 投标文件正本、所有副本密封要求：见投标须知前附表。</w:t>
      </w:r>
    </w:p>
    <w:p>
      <w:pPr>
        <w:tabs>
          <w:tab w:val="left" w:pos="1080"/>
        </w:tabs>
        <w:topLinePunct/>
        <w:spacing w:line="440" w:lineRule="exact"/>
        <w:ind w:firstLine="480" w:firstLineChars="200"/>
        <w:rPr>
          <w:rFonts w:hAnsi="宋体"/>
          <w:kern w:val="24"/>
          <w:sz w:val="24"/>
          <w:highlight w:val="none"/>
        </w:rPr>
      </w:pPr>
      <w:r>
        <w:rPr>
          <w:rFonts w:hint="eastAsia" w:hAnsi="宋体"/>
          <w:kern w:val="24"/>
          <w:sz w:val="24"/>
          <w:highlight w:val="none"/>
        </w:rPr>
        <w:t>19.3</w:t>
      </w:r>
      <w:r>
        <w:rPr>
          <w:rFonts w:hint="eastAsia" w:hAnsi="宋体"/>
          <w:bCs/>
          <w:kern w:val="24"/>
          <w:sz w:val="24"/>
          <w:highlight w:val="none"/>
        </w:rPr>
        <w:t>未密封的将被拒绝接收，</w:t>
      </w:r>
      <w:r>
        <w:rPr>
          <w:rFonts w:hAnsi="宋体"/>
          <w:bCs/>
          <w:kern w:val="24"/>
          <w:sz w:val="24"/>
          <w:highlight w:val="none"/>
        </w:rPr>
        <w:t>密封袋未按要求盖章或密封不严实，但响应文件正文件内容看不见的，仍视为有效响应文件予以接收</w:t>
      </w:r>
      <w:r>
        <w:rPr>
          <w:rFonts w:hint="eastAsia" w:hAnsi="宋体"/>
          <w:bCs/>
          <w:kern w:val="24"/>
          <w:sz w:val="24"/>
          <w:highlight w:val="none"/>
        </w:rPr>
        <w:t>。</w:t>
      </w:r>
    </w:p>
    <w:p>
      <w:pPr>
        <w:tabs>
          <w:tab w:val="left" w:pos="7665"/>
        </w:tabs>
        <w:topLinePunct/>
        <w:spacing w:line="440" w:lineRule="exact"/>
        <w:outlineLvl w:val="3"/>
        <w:rPr>
          <w:rFonts w:ascii="宋体" w:hAnsi="宋体"/>
          <w:b/>
          <w:sz w:val="24"/>
          <w:highlight w:val="none"/>
        </w:rPr>
      </w:pPr>
      <w:r>
        <w:rPr>
          <w:rFonts w:hint="eastAsia" w:ascii="宋体" w:hAnsi="宋体"/>
          <w:b/>
          <w:sz w:val="24"/>
          <w:highlight w:val="none"/>
        </w:rPr>
        <w:t xml:space="preserve">    20.投标文件的签署</w:t>
      </w:r>
    </w:p>
    <w:p>
      <w:pPr>
        <w:tabs>
          <w:tab w:val="left" w:pos="7665"/>
        </w:tabs>
        <w:topLinePunct/>
        <w:spacing w:line="440" w:lineRule="exact"/>
        <w:ind w:firstLine="482" w:firstLineChars="200"/>
        <w:outlineLvl w:val="3"/>
        <w:rPr>
          <w:rFonts w:ascii="宋体" w:hAnsi="宋体"/>
          <w:b/>
          <w:sz w:val="24"/>
          <w:highlight w:val="none"/>
        </w:rPr>
      </w:pPr>
      <w:r>
        <w:rPr>
          <w:rFonts w:hint="eastAsia" w:ascii="宋体" w:hAnsi="宋体"/>
          <w:b/>
          <w:sz w:val="24"/>
          <w:highlight w:val="none"/>
        </w:rPr>
        <w:t>详见投标须知前附表。</w:t>
      </w:r>
    </w:p>
    <w:p>
      <w:pPr>
        <w:tabs>
          <w:tab w:val="left" w:pos="7665"/>
        </w:tabs>
        <w:topLinePunct/>
        <w:spacing w:line="440" w:lineRule="exact"/>
        <w:ind w:firstLine="472" w:firstLineChars="196"/>
        <w:outlineLvl w:val="3"/>
        <w:rPr>
          <w:rFonts w:ascii="宋体" w:hAnsi="宋体"/>
          <w:b/>
          <w:sz w:val="24"/>
          <w:highlight w:val="none"/>
        </w:rPr>
      </w:pPr>
      <w:r>
        <w:rPr>
          <w:rFonts w:hint="eastAsia" w:ascii="宋体" w:hAnsi="宋体"/>
          <w:b/>
          <w:sz w:val="24"/>
          <w:highlight w:val="none"/>
        </w:rPr>
        <w:t>21．投标文件的递交</w:t>
      </w:r>
      <w:r>
        <w:rPr>
          <w:rFonts w:hint="eastAsia"/>
          <w:b/>
          <w:sz w:val="24"/>
          <w:szCs w:val="24"/>
          <w:highlight w:val="none"/>
        </w:rPr>
        <w:t>（实质性要求）</w:t>
      </w:r>
    </w:p>
    <w:p>
      <w:pPr>
        <w:tabs>
          <w:tab w:val="left" w:pos="1095"/>
        </w:tabs>
        <w:spacing w:line="440" w:lineRule="exact"/>
        <w:ind w:firstLine="460" w:firstLineChars="192"/>
        <w:rPr>
          <w:rFonts w:ascii="宋体" w:hAnsi="宋体"/>
          <w:sz w:val="24"/>
          <w:szCs w:val="24"/>
          <w:highlight w:val="none"/>
        </w:rPr>
      </w:pPr>
      <w:r>
        <w:rPr>
          <w:rFonts w:hint="eastAsia" w:ascii="宋体" w:hAnsi="宋体"/>
          <w:sz w:val="24"/>
          <w:szCs w:val="24"/>
          <w:highlight w:val="none"/>
        </w:rPr>
        <w:t>21.1 投标人应在招标文件规定的投标截止时间前递交投标文件。</w:t>
      </w:r>
    </w:p>
    <w:p>
      <w:pPr>
        <w:tabs>
          <w:tab w:val="left" w:pos="7665"/>
        </w:tabs>
        <w:topLinePunct/>
        <w:spacing w:line="440" w:lineRule="exact"/>
        <w:ind w:firstLine="480" w:firstLineChars="200"/>
        <w:outlineLvl w:val="3"/>
        <w:rPr>
          <w:rFonts w:ascii="宋体" w:hAnsi="宋体"/>
          <w:sz w:val="24"/>
          <w:szCs w:val="24"/>
          <w:highlight w:val="none"/>
        </w:rPr>
      </w:pPr>
      <w:r>
        <w:rPr>
          <w:rFonts w:hint="eastAsia" w:ascii="宋体" w:hAnsi="宋体"/>
          <w:sz w:val="24"/>
          <w:szCs w:val="24"/>
          <w:highlight w:val="none"/>
        </w:rPr>
        <w:t>21.2 投标截止时间以后送达的投标文件将不予接收。</w:t>
      </w:r>
    </w:p>
    <w:p>
      <w:pPr>
        <w:tabs>
          <w:tab w:val="left" w:pos="7665"/>
        </w:tabs>
        <w:topLinePunct/>
        <w:spacing w:line="440" w:lineRule="exact"/>
        <w:outlineLvl w:val="3"/>
        <w:rPr>
          <w:rFonts w:ascii="宋体" w:hAnsi="宋体"/>
          <w:b/>
          <w:sz w:val="24"/>
          <w:highlight w:val="none"/>
        </w:rPr>
      </w:pPr>
      <w:r>
        <w:rPr>
          <w:rFonts w:hint="eastAsia" w:ascii="宋体" w:hAnsi="宋体"/>
          <w:b/>
          <w:sz w:val="24"/>
          <w:highlight w:val="none"/>
        </w:rPr>
        <w:t xml:space="preserve">    22．投标文件的修改和撤回</w:t>
      </w:r>
    </w:p>
    <w:p>
      <w:pPr>
        <w:topLinePunct/>
        <w:spacing w:line="440" w:lineRule="exact"/>
        <w:ind w:firstLine="480" w:firstLineChars="200"/>
        <w:rPr>
          <w:rFonts w:hAnsi="宋体" w:cs="宋体"/>
          <w:color w:val="000000"/>
          <w:kern w:val="24"/>
          <w:sz w:val="24"/>
          <w:highlight w:val="none"/>
        </w:rPr>
      </w:pPr>
      <w:r>
        <w:rPr>
          <w:rFonts w:hint="eastAsia" w:hAnsi="宋体" w:cs="宋体"/>
          <w:color w:val="000000"/>
          <w:kern w:val="24"/>
          <w:sz w:val="24"/>
          <w:highlight w:val="none"/>
        </w:rPr>
        <w:t>22．1 投标人在递交了投标文件后，可以修改或撤回其投标文件，但必须在规定的投标截止时间前，以书面形式通知采购代理机构。</w:t>
      </w:r>
    </w:p>
    <w:p>
      <w:pPr>
        <w:topLinePunct/>
        <w:spacing w:line="440" w:lineRule="exact"/>
        <w:ind w:firstLine="480" w:firstLineChars="200"/>
        <w:rPr>
          <w:rFonts w:hAnsi="宋体" w:cs="宋体"/>
          <w:color w:val="000000"/>
          <w:kern w:val="24"/>
          <w:sz w:val="24"/>
          <w:highlight w:val="none"/>
        </w:rPr>
      </w:pPr>
      <w:r>
        <w:rPr>
          <w:rFonts w:hint="eastAsia" w:hAnsi="宋体" w:cs="宋体"/>
          <w:color w:val="000000"/>
          <w:kern w:val="24"/>
          <w:sz w:val="24"/>
          <w:highlight w:val="none"/>
        </w:rPr>
        <w:t>22．2 投标人的修改书或撤回通知书，应由其法定代表人或被授权人签署并盖单位印章。修改书应按投标人须知规定进行密封和标注，并在密封袋上标注“修改”字样。</w:t>
      </w:r>
    </w:p>
    <w:p>
      <w:pPr>
        <w:topLinePunct/>
        <w:spacing w:line="440" w:lineRule="exact"/>
        <w:ind w:firstLine="480" w:firstLineChars="200"/>
        <w:rPr>
          <w:rFonts w:hAnsi="宋体" w:cs="宋体"/>
          <w:color w:val="000000"/>
          <w:kern w:val="24"/>
          <w:sz w:val="24"/>
          <w:highlight w:val="none"/>
        </w:rPr>
      </w:pPr>
      <w:r>
        <w:rPr>
          <w:rFonts w:hint="eastAsia" w:hAnsi="宋体" w:cs="宋体"/>
          <w:color w:val="000000"/>
          <w:kern w:val="24"/>
          <w:sz w:val="24"/>
          <w:highlight w:val="none"/>
        </w:rPr>
        <w:t>22．3 在投标截止时间之后，投标人不得对其递交的投标文件做任何修改或撤回投标。</w:t>
      </w:r>
    </w:p>
    <w:p>
      <w:pPr>
        <w:pStyle w:val="44"/>
        <w:spacing w:line="440" w:lineRule="exact"/>
        <w:jc w:val="center"/>
        <w:rPr>
          <w:b/>
          <w:sz w:val="32"/>
          <w:szCs w:val="32"/>
          <w:highlight w:val="none"/>
        </w:rPr>
      </w:pPr>
      <w:bookmarkStart w:id="22" w:name="EBf4647e67992548b0adc9c9ebe0ea108a"/>
      <w:bookmarkEnd w:id="22"/>
      <w:bookmarkStart w:id="23" w:name="EB82a6b068ab534aa6b5ff18752951d466"/>
      <w:bookmarkEnd w:id="23"/>
    </w:p>
    <w:p>
      <w:pPr>
        <w:pStyle w:val="44"/>
        <w:spacing w:line="440" w:lineRule="exact"/>
        <w:jc w:val="center"/>
        <w:rPr>
          <w:b/>
          <w:sz w:val="32"/>
          <w:szCs w:val="32"/>
          <w:highlight w:val="none"/>
        </w:rPr>
      </w:pPr>
      <w:bookmarkStart w:id="24" w:name="_Toc484268466"/>
      <w:r>
        <w:rPr>
          <w:rFonts w:hint="eastAsia"/>
          <w:b/>
          <w:sz w:val="32"/>
          <w:szCs w:val="32"/>
          <w:highlight w:val="none"/>
        </w:rPr>
        <w:t>五、开标和中标</w:t>
      </w:r>
      <w:bookmarkEnd w:id="24"/>
    </w:p>
    <w:p>
      <w:pPr>
        <w:tabs>
          <w:tab w:val="left" w:pos="7665"/>
        </w:tabs>
        <w:topLinePunct/>
        <w:spacing w:line="440" w:lineRule="exact"/>
        <w:ind w:firstLine="472" w:firstLineChars="196"/>
        <w:outlineLvl w:val="3"/>
        <w:rPr>
          <w:rFonts w:ascii="宋体" w:hAnsi="宋体"/>
          <w:b/>
          <w:sz w:val="24"/>
          <w:highlight w:val="none"/>
        </w:rPr>
      </w:pPr>
      <w:r>
        <w:rPr>
          <w:rFonts w:hint="eastAsia" w:ascii="宋体" w:hAnsi="宋体"/>
          <w:b/>
          <w:sz w:val="24"/>
          <w:highlight w:val="none"/>
        </w:rPr>
        <w:t>23．开标</w:t>
      </w:r>
    </w:p>
    <w:p>
      <w:pPr>
        <w:tabs>
          <w:tab w:val="left" w:pos="7665"/>
        </w:tabs>
        <w:topLinePunct/>
        <w:spacing w:line="440" w:lineRule="exact"/>
        <w:ind w:firstLine="480" w:firstLineChars="200"/>
        <w:rPr>
          <w:rFonts w:ascii="宋体" w:hAnsi="宋体"/>
          <w:sz w:val="24"/>
          <w:szCs w:val="20"/>
          <w:highlight w:val="none"/>
        </w:rPr>
      </w:pPr>
      <w:r>
        <w:rPr>
          <w:rFonts w:hint="eastAsia" w:ascii="宋体" w:hAnsi="宋体"/>
          <w:sz w:val="24"/>
          <w:highlight w:val="none"/>
        </w:rPr>
        <w:t>23.1 采购代理机构在招标文件规定的时间和地点组织开标。采购人、投标人须派代表参加并签到以证明其出席。拟参加</w:t>
      </w:r>
      <w:r>
        <w:rPr>
          <w:rFonts w:hint="eastAsia" w:ascii="宋体" w:hAnsi="宋体"/>
          <w:sz w:val="24"/>
          <w:szCs w:val="20"/>
          <w:highlight w:val="none"/>
        </w:rPr>
        <w:t>评标的采购人代表不得参加开标活动。</w:t>
      </w:r>
    </w:p>
    <w:p>
      <w:pPr>
        <w:tabs>
          <w:tab w:val="left" w:pos="7665"/>
        </w:tabs>
        <w:topLinePunct/>
        <w:spacing w:line="440" w:lineRule="exact"/>
        <w:ind w:firstLine="480" w:firstLineChars="200"/>
        <w:rPr>
          <w:rFonts w:ascii="宋体" w:hAnsi="宋体"/>
          <w:sz w:val="24"/>
          <w:highlight w:val="none"/>
        </w:rPr>
      </w:pPr>
      <w:r>
        <w:rPr>
          <w:rFonts w:hint="eastAsia" w:ascii="宋体" w:hAnsi="宋体"/>
          <w:sz w:val="24"/>
          <w:highlight w:val="none"/>
        </w:rPr>
        <w:t xml:space="preserve">23.2 采购人须派本单位监督人员1名到场监督。 </w:t>
      </w:r>
    </w:p>
    <w:p>
      <w:pPr>
        <w:tabs>
          <w:tab w:val="left" w:pos="7665"/>
        </w:tabs>
        <w:topLinePunct/>
        <w:spacing w:line="440" w:lineRule="exact"/>
        <w:ind w:firstLine="480" w:firstLineChars="200"/>
        <w:rPr>
          <w:rFonts w:ascii="宋体" w:hAnsi="宋体"/>
          <w:sz w:val="24"/>
          <w:highlight w:val="none"/>
        </w:rPr>
      </w:pPr>
      <w:r>
        <w:rPr>
          <w:rFonts w:hint="eastAsia" w:ascii="宋体" w:hAnsi="宋体"/>
          <w:sz w:val="24"/>
          <w:highlight w:val="none"/>
        </w:rPr>
        <w:t>23.3 开标时间到时，</w:t>
      </w:r>
      <w:r>
        <w:rPr>
          <w:rFonts w:hint="eastAsia" w:ascii="宋体" w:hAnsi="宋体"/>
          <w:sz w:val="24"/>
          <w:highlight w:val="none"/>
          <w:lang w:val="en-US" w:eastAsia="zh-CN"/>
        </w:rPr>
        <w:t>宣读</w:t>
      </w:r>
      <w:r>
        <w:rPr>
          <w:rFonts w:hint="eastAsia" w:ascii="宋体" w:hAnsi="宋体"/>
          <w:sz w:val="24"/>
          <w:highlight w:val="none"/>
        </w:rPr>
        <w:t>报名的投标人名单。</w:t>
      </w:r>
    </w:p>
    <w:p>
      <w:pPr>
        <w:tabs>
          <w:tab w:val="left" w:pos="7665"/>
        </w:tabs>
        <w:topLinePunct/>
        <w:spacing w:line="440" w:lineRule="exact"/>
        <w:ind w:firstLine="480" w:firstLineChars="200"/>
        <w:rPr>
          <w:rFonts w:ascii="宋体" w:hAnsi="宋体"/>
          <w:sz w:val="24"/>
          <w:highlight w:val="none"/>
        </w:rPr>
      </w:pPr>
      <w:r>
        <w:rPr>
          <w:rFonts w:hint="eastAsia" w:ascii="宋体" w:hAnsi="宋体"/>
          <w:sz w:val="24"/>
          <w:highlight w:val="none"/>
        </w:rPr>
        <w:t>23.4 开标相关事项：</w:t>
      </w:r>
    </w:p>
    <w:p>
      <w:pPr>
        <w:tabs>
          <w:tab w:val="left" w:pos="7665"/>
        </w:tabs>
        <w:topLinePunct/>
        <w:spacing w:line="440" w:lineRule="exact"/>
        <w:ind w:firstLine="480" w:firstLineChars="200"/>
        <w:rPr>
          <w:rFonts w:ascii="宋体" w:hAnsi="宋体"/>
          <w:sz w:val="24"/>
          <w:highlight w:val="none"/>
        </w:rPr>
      </w:pPr>
      <w:r>
        <w:rPr>
          <w:rFonts w:ascii="宋体" w:hAnsi="宋体"/>
          <w:sz w:val="24"/>
          <w:highlight w:val="none"/>
        </w:rPr>
        <w:t>(1)</w:t>
      </w:r>
      <w:r>
        <w:rPr>
          <w:rFonts w:hint="eastAsia" w:ascii="宋体" w:hAnsi="宋体"/>
          <w:sz w:val="24"/>
          <w:highlight w:val="none"/>
        </w:rPr>
        <w:t>开标时，由投标人或其推选的代表检查投标文件的密封情况。经确认无误后，</w:t>
      </w:r>
      <w:r>
        <w:rPr>
          <w:rFonts w:ascii="宋体" w:hAnsi="宋体"/>
          <w:sz w:val="24"/>
          <w:highlight w:val="none"/>
        </w:rPr>
        <w:t>由采购人或者采购代理机构工作人员当众拆封，宣布投标人名称、投标价格和招标文件规定的需要宣布的其他内容。</w:t>
      </w:r>
    </w:p>
    <w:p>
      <w:pPr>
        <w:tabs>
          <w:tab w:val="left" w:pos="7665"/>
        </w:tabs>
        <w:topLinePunct/>
        <w:spacing w:line="440" w:lineRule="exact"/>
        <w:ind w:firstLine="480" w:firstLineChars="200"/>
        <w:rPr>
          <w:rFonts w:ascii="宋体" w:hAnsi="宋体"/>
          <w:sz w:val="24"/>
          <w:highlight w:val="none"/>
        </w:rPr>
      </w:pPr>
      <w:r>
        <w:rPr>
          <w:rFonts w:hint="eastAsia" w:ascii="宋体"/>
          <w:sz w:val="24"/>
          <w:highlight w:val="none"/>
        </w:rPr>
        <w:t>投标人或者其推选的代表确认投标文件情况，投标人或者其推选的代表对其他投标人的投标文件密封情况有异议的，可以当场反映开标主持人或者现场监督人员进行处理，但不得干扰、阻挠开标工作的正常进行。</w:t>
      </w:r>
    </w:p>
    <w:p>
      <w:pPr>
        <w:tabs>
          <w:tab w:val="left" w:pos="7665"/>
        </w:tabs>
        <w:topLinePunct/>
        <w:spacing w:line="440" w:lineRule="exact"/>
        <w:ind w:firstLine="480" w:firstLineChars="200"/>
        <w:rPr>
          <w:rFonts w:ascii="宋体"/>
          <w:sz w:val="24"/>
          <w:highlight w:val="none"/>
        </w:rPr>
      </w:pPr>
      <w:r>
        <w:rPr>
          <w:rFonts w:ascii="宋体"/>
          <w:sz w:val="24"/>
          <w:highlight w:val="none"/>
        </w:rPr>
        <w:t>(2)</w:t>
      </w:r>
      <w:r>
        <w:rPr>
          <w:rFonts w:hint="eastAsia" w:ascii="宋体"/>
          <w:sz w:val="24"/>
          <w:highlight w:val="none"/>
        </w:rPr>
        <w:t>开标时，“开标一览表”中的大写金额与小写金额不一致的，以大写金额为准。投标文件中有关明细表内容与“开标一览表”不一致的，按规定进行修正和处理。</w:t>
      </w:r>
    </w:p>
    <w:p>
      <w:pPr>
        <w:tabs>
          <w:tab w:val="left" w:pos="7665"/>
        </w:tabs>
        <w:topLinePunct/>
        <w:spacing w:line="440" w:lineRule="exact"/>
        <w:ind w:firstLine="480" w:firstLineChars="200"/>
        <w:rPr>
          <w:rFonts w:hAnsi="宋体"/>
          <w:sz w:val="24"/>
          <w:highlight w:val="none"/>
        </w:rPr>
      </w:pPr>
      <w:r>
        <w:rPr>
          <w:rFonts w:hint="eastAsia" w:hAnsi="宋体"/>
          <w:sz w:val="24"/>
          <w:highlight w:val="none"/>
        </w:rPr>
        <w:t>（3）投标人代表对开标过程和开标记录有疑义，以及认为采购人、采购代理机构相关工作人员有需要回避的情形的，应当场提出询问或者回避申请。采购人、采购代理机构对投标人代表提出的询问或者回避申请应当及时处理。</w:t>
      </w:r>
    </w:p>
    <w:p>
      <w:pPr>
        <w:tabs>
          <w:tab w:val="left" w:pos="7665"/>
        </w:tabs>
        <w:topLinePunct/>
        <w:spacing w:line="440" w:lineRule="exact"/>
        <w:ind w:firstLine="480" w:firstLineChars="200"/>
        <w:rPr>
          <w:rFonts w:ascii="宋体" w:hAnsi="宋体"/>
          <w:sz w:val="24"/>
          <w:highlight w:val="none"/>
        </w:rPr>
      </w:pPr>
      <w:r>
        <w:rPr>
          <w:rFonts w:hint="eastAsia" w:ascii="宋体" w:hAnsi="宋体"/>
          <w:sz w:val="24"/>
          <w:highlight w:val="none"/>
        </w:rPr>
        <w:t>23.5 开标程序</w:t>
      </w:r>
    </w:p>
    <w:p>
      <w:pPr>
        <w:tabs>
          <w:tab w:val="left" w:pos="7665"/>
        </w:tabs>
        <w:topLinePunct/>
        <w:spacing w:line="440" w:lineRule="exact"/>
        <w:ind w:firstLine="480" w:firstLineChars="200"/>
        <w:rPr>
          <w:rFonts w:ascii="宋体" w:hAnsi="宋体"/>
          <w:sz w:val="24"/>
          <w:highlight w:val="none"/>
        </w:rPr>
      </w:pPr>
      <w:r>
        <w:rPr>
          <w:rFonts w:hint="eastAsia" w:ascii="宋体" w:hAnsi="宋体"/>
          <w:sz w:val="24"/>
          <w:highlight w:val="none"/>
        </w:rPr>
        <w:t>主持人按照招标文件规定的开标时间宣布开标，按照规定主持开标会。</w:t>
      </w:r>
    </w:p>
    <w:p>
      <w:pPr>
        <w:tabs>
          <w:tab w:val="left" w:pos="7665"/>
        </w:tabs>
        <w:topLinePunct/>
        <w:spacing w:line="440" w:lineRule="exact"/>
        <w:ind w:firstLine="480" w:firstLineChars="200"/>
        <w:rPr>
          <w:rFonts w:ascii="宋体" w:hAnsi="宋体"/>
          <w:sz w:val="24"/>
          <w:highlight w:val="none"/>
        </w:rPr>
      </w:pPr>
      <w:r>
        <w:rPr>
          <w:rFonts w:hint="eastAsia" w:ascii="宋体" w:hAnsi="宋体"/>
          <w:sz w:val="24"/>
          <w:highlight w:val="none"/>
        </w:rPr>
        <w:t>23.5.1主持人将按下列程序进行开标：</w:t>
      </w:r>
    </w:p>
    <w:p>
      <w:pPr>
        <w:tabs>
          <w:tab w:val="left" w:pos="7665"/>
        </w:tabs>
        <w:topLinePunct/>
        <w:spacing w:line="440" w:lineRule="exact"/>
        <w:ind w:firstLine="480" w:firstLineChars="200"/>
        <w:rPr>
          <w:rFonts w:ascii="宋体" w:hAnsi="宋体"/>
          <w:sz w:val="24"/>
          <w:highlight w:val="none"/>
        </w:rPr>
      </w:pPr>
      <w:r>
        <w:rPr>
          <w:rFonts w:hint="eastAsia" w:ascii="宋体" w:hAnsi="宋体"/>
          <w:sz w:val="24"/>
          <w:highlight w:val="none"/>
        </w:rPr>
        <w:t>（1）进入开标倒计时时宣布参加开标会的监督人员、采购人代表、主持人、会议记录等参会人员；</w:t>
      </w:r>
    </w:p>
    <w:p>
      <w:pPr>
        <w:tabs>
          <w:tab w:val="left" w:pos="7665"/>
        </w:tabs>
        <w:topLinePunct/>
        <w:spacing w:line="440" w:lineRule="exact"/>
        <w:ind w:firstLine="480" w:firstLineChars="200"/>
        <w:rPr>
          <w:rFonts w:ascii="宋体" w:hAnsi="宋体"/>
          <w:sz w:val="24"/>
          <w:highlight w:val="none"/>
        </w:rPr>
      </w:pPr>
      <w:r>
        <w:rPr>
          <w:rFonts w:hint="eastAsia" w:ascii="宋体" w:hAnsi="宋体"/>
          <w:sz w:val="24"/>
          <w:highlight w:val="none"/>
        </w:rPr>
        <w:t>（2）宣布会场纪律和有关注意事项；</w:t>
      </w:r>
    </w:p>
    <w:p>
      <w:pPr>
        <w:tabs>
          <w:tab w:val="left" w:pos="7665"/>
        </w:tabs>
        <w:topLinePunct/>
        <w:spacing w:line="440" w:lineRule="exact"/>
        <w:ind w:firstLine="480" w:firstLineChars="200"/>
        <w:rPr>
          <w:rFonts w:ascii="宋体" w:hAnsi="宋体"/>
          <w:sz w:val="24"/>
          <w:highlight w:val="none"/>
        </w:rPr>
      </w:pPr>
      <w:r>
        <w:rPr>
          <w:rFonts w:hint="eastAsia" w:ascii="宋体" w:hAnsi="宋体"/>
          <w:sz w:val="24"/>
          <w:highlight w:val="none"/>
        </w:rPr>
        <w:t>（3）宣布投标截止时间已到，开标会开始；</w:t>
      </w:r>
    </w:p>
    <w:p>
      <w:pPr>
        <w:tabs>
          <w:tab w:val="left" w:pos="7665"/>
        </w:tabs>
        <w:topLinePunct/>
        <w:spacing w:line="440" w:lineRule="exact"/>
        <w:ind w:firstLine="480" w:firstLineChars="200"/>
        <w:rPr>
          <w:rFonts w:ascii="宋体" w:hAnsi="宋体"/>
          <w:sz w:val="24"/>
          <w:highlight w:val="none"/>
        </w:rPr>
      </w:pPr>
      <w:r>
        <w:rPr>
          <w:rFonts w:hint="eastAsia" w:ascii="宋体" w:hAnsi="宋体"/>
          <w:sz w:val="24"/>
          <w:highlight w:val="none"/>
        </w:rPr>
        <w:t>（4）公布已报名的</w:t>
      </w:r>
      <w:r>
        <w:rPr>
          <w:rFonts w:hint="eastAsia" w:ascii="宋体" w:hAnsi="宋体"/>
          <w:sz w:val="24"/>
          <w:highlight w:val="none"/>
          <w:lang w:val="en-US" w:eastAsia="zh-CN"/>
        </w:rPr>
        <w:t>投标人</w:t>
      </w:r>
      <w:r>
        <w:rPr>
          <w:rFonts w:hint="eastAsia" w:ascii="宋体" w:hAnsi="宋体"/>
          <w:sz w:val="24"/>
          <w:highlight w:val="none"/>
        </w:rPr>
        <w:t>名单；</w:t>
      </w:r>
    </w:p>
    <w:p>
      <w:pPr>
        <w:tabs>
          <w:tab w:val="left" w:pos="7665"/>
        </w:tabs>
        <w:topLinePunct/>
        <w:spacing w:line="440" w:lineRule="exact"/>
        <w:ind w:firstLine="480" w:firstLineChars="200"/>
        <w:rPr>
          <w:rFonts w:ascii="宋体" w:hAnsi="宋体"/>
          <w:sz w:val="24"/>
          <w:highlight w:val="none"/>
        </w:rPr>
      </w:pPr>
      <w:r>
        <w:rPr>
          <w:rFonts w:hint="eastAsia" w:ascii="宋体" w:hAnsi="宋体"/>
          <w:sz w:val="24"/>
          <w:highlight w:val="none"/>
        </w:rPr>
        <w:t>(5) 根据投标人或者其推选的代表对投标文件密封的检查结果，当众宣布投标文件的密封情况。</w:t>
      </w:r>
    </w:p>
    <w:p>
      <w:pPr>
        <w:tabs>
          <w:tab w:val="left" w:pos="7665"/>
        </w:tabs>
        <w:topLinePunct/>
        <w:spacing w:line="440" w:lineRule="exact"/>
        <w:ind w:firstLine="480" w:firstLineChars="200"/>
        <w:rPr>
          <w:rFonts w:ascii="宋体" w:hAnsi="宋体"/>
          <w:sz w:val="24"/>
          <w:highlight w:val="none"/>
        </w:rPr>
      </w:pPr>
      <w:r>
        <w:rPr>
          <w:rFonts w:hint="eastAsia" w:ascii="宋体" w:hAnsi="宋体"/>
          <w:sz w:val="24"/>
          <w:highlight w:val="none"/>
        </w:rPr>
        <w:t>(6)由现场工作人员按任意顺序对投标人的投标文件当众进行拆封，由唱标人员宣读投标人名称、投标价格（价格折扣）、或招标文件允许提供的备选投标方案。同时，做好开标记录。唱标人员在唱标过程中，如遇有字迹不清楚或有明显错误的，应即刻报告监督人员，经现场核实后，监督人员立即请投标人代表现场进行澄清或确认。唱标完毕后投标人或者其推选的代表需现场对开标记录进行签字确认，投标人或者其推选的代表对唱标内容有异议的，可以当场提出，并要求会议记录人在开标记录中予以记录，或者另行提供书面异议资料，不签字又不提出异议的，视同认可唱标内容和结果，且不得干扰、阻挠开（唱）标、评标工作。</w:t>
      </w:r>
    </w:p>
    <w:p>
      <w:pPr>
        <w:tabs>
          <w:tab w:val="left" w:pos="7665"/>
        </w:tabs>
        <w:topLinePunct/>
        <w:spacing w:line="440" w:lineRule="exact"/>
        <w:ind w:firstLine="480" w:firstLineChars="200"/>
        <w:rPr>
          <w:rFonts w:ascii="宋体" w:hAnsi="宋体"/>
          <w:sz w:val="24"/>
          <w:highlight w:val="none"/>
        </w:rPr>
      </w:pPr>
      <w:r>
        <w:rPr>
          <w:rFonts w:hint="eastAsia" w:ascii="宋体" w:hAnsi="宋体"/>
          <w:sz w:val="24"/>
          <w:highlight w:val="none"/>
        </w:rPr>
        <w:t>（7）开标结束</w:t>
      </w:r>
    </w:p>
    <w:p>
      <w:pPr>
        <w:spacing w:line="440" w:lineRule="exact"/>
        <w:ind w:firstLine="480" w:firstLineChars="200"/>
        <w:rPr>
          <w:rFonts w:ascii="宋体" w:hAnsi="宋体"/>
          <w:sz w:val="24"/>
          <w:highlight w:val="none"/>
        </w:rPr>
      </w:pPr>
      <w:r>
        <w:rPr>
          <w:rFonts w:hint="eastAsia" w:ascii="宋体" w:hAnsi="宋体"/>
          <w:sz w:val="24"/>
          <w:highlight w:val="none"/>
        </w:rPr>
        <w:t>主持人宣布开标会结束，所有投标人代表应立即退场（招标文件要求有演示、介绍等的除外）。同时所有投标人应保持通讯设备的畅通，以方便在评标过程中评标委员会要求投标人对投标文件的必要澄清、说明和纠正。</w:t>
      </w:r>
    </w:p>
    <w:p>
      <w:pPr>
        <w:tabs>
          <w:tab w:val="left" w:pos="7665"/>
        </w:tabs>
        <w:topLinePunct/>
        <w:spacing w:line="440" w:lineRule="exact"/>
        <w:ind w:firstLine="480" w:firstLineChars="200"/>
        <w:rPr>
          <w:rFonts w:ascii="宋体" w:hAnsi="宋体"/>
          <w:sz w:val="24"/>
          <w:highlight w:val="none"/>
        </w:rPr>
      </w:pPr>
      <w:r>
        <w:rPr>
          <w:rFonts w:hint="eastAsia" w:ascii="宋体" w:hAnsi="宋体"/>
          <w:sz w:val="24"/>
          <w:highlight w:val="none"/>
        </w:rPr>
        <w:t>主持人宣布开标会结束后，在监督人员的监督下将投标文件移送至评标室。</w:t>
      </w:r>
    </w:p>
    <w:p>
      <w:pPr>
        <w:tabs>
          <w:tab w:val="left" w:pos="7665"/>
        </w:tabs>
        <w:topLinePunct/>
        <w:spacing w:line="440" w:lineRule="exact"/>
        <w:ind w:firstLine="472" w:firstLineChars="196"/>
        <w:outlineLvl w:val="3"/>
        <w:rPr>
          <w:rFonts w:ascii="宋体" w:hAnsi="宋体"/>
          <w:b/>
          <w:sz w:val="24"/>
          <w:highlight w:val="none"/>
        </w:rPr>
      </w:pPr>
      <w:r>
        <w:rPr>
          <w:rFonts w:hint="eastAsia" w:ascii="宋体" w:hAnsi="宋体"/>
          <w:b/>
          <w:sz w:val="24"/>
          <w:highlight w:val="none"/>
        </w:rPr>
        <w:t>24.资格审查</w:t>
      </w:r>
    </w:p>
    <w:p>
      <w:pPr>
        <w:tabs>
          <w:tab w:val="left" w:pos="7665"/>
        </w:tabs>
        <w:topLinePunct/>
        <w:spacing w:line="440" w:lineRule="exact"/>
        <w:ind w:firstLine="480" w:firstLineChars="200"/>
        <w:rPr>
          <w:rFonts w:ascii="宋体" w:hAnsi="宋体"/>
          <w:sz w:val="24"/>
          <w:highlight w:val="none"/>
        </w:rPr>
      </w:pPr>
      <w:r>
        <w:rPr>
          <w:rFonts w:hint="eastAsia" w:ascii="宋体" w:hAnsi="宋体"/>
          <w:sz w:val="24"/>
          <w:highlight w:val="none"/>
        </w:rPr>
        <w:t>详见投标人须知前附表</w:t>
      </w:r>
    </w:p>
    <w:p>
      <w:pPr>
        <w:tabs>
          <w:tab w:val="left" w:pos="7665"/>
        </w:tabs>
        <w:topLinePunct/>
        <w:spacing w:line="440" w:lineRule="exact"/>
        <w:ind w:firstLine="472" w:firstLineChars="196"/>
        <w:outlineLvl w:val="3"/>
        <w:rPr>
          <w:rFonts w:ascii="宋体" w:hAnsi="宋体"/>
          <w:b/>
          <w:sz w:val="24"/>
          <w:highlight w:val="none"/>
        </w:rPr>
      </w:pPr>
      <w:r>
        <w:rPr>
          <w:rFonts w:hint="eastAsia" w:ascii="宋体" w:hAnsi="宋体"/>
          <w:b/>
          <w:sz w:val="24"/>
          <w:highlight w:val="none"/>
        </w:rPr>
        <w:t>25．评标、定标</w:t>
      </w:r>
    </w:p>
    <w:p>
      <w:pPr>
        <w:topLinePunct/>
        <w:spacing w:line="440" w:lineRule="exact"/>
        <w:ind w:firstLine="480" w:firstLineChars="200"/>
        <w:rPr>
          <w:rFonts w:hAnsi="宋体"/>
          <w:sz w:val="24"/>
          <w:highlight w:val="none"/>
        </w:rPr>
      </w:pPr>
      <w:r>
        <w:rPr>
          <w:rFonts w:hint="eastAsia" w:ascii="宋体" w:hAnsi="宋体"/>
          <w:sz w:val="24"/>
          <w:highlight w:val="none"/>
        </w:rPr>
        <w:t>详见第五章评标办法。</w:t>
      </w:r>
    </w:p>
    <w:p>
      <w:pPr>
        <w:spacing w:line="440" w:lineRule="exact"/>
        <w:ind w:firstLine="472" w:firstLineChars="196"/>
        <w:rPr>
          <w:rFonts w:ascii="宋体" w:hAnsi="宋体"/>
          <w:b/>
          <w:sz w:val="24"/>
          <w:highlight w:val="none"/>
        </w:rPr>
      </w:pPr>
      <w:r>
        <w:rPr>
          <w:rFonts w:hint="eastAsia" w:ascii="宋体" w:hAnsi="宋体"/>
          <w:b/>
          <w:sz w:val="24"/>
          <w:highlight w:val="none"/>
        </w:rPr>
        <w:t>26.评标情况公告</w:t>
      </w:r>
    </w:p>
    <w:p>
      <w:pPr>
        <w:spacing w:line="440" w:lineRule="exact"/>
        <w:ind w:firstLine="480" w:firstLineChars="200"/>
        <w:rPr>
          <w:rFonts w:ascii="宋体" w:hAnsi="宋体"/>
          <w:sz w:val="24"/>
          <w:highlight w:val="none"/>
        </w:rPr>
      </w:pPr>
      <w:r>
        <w:rPr>
          <w:rFonts w:hint="eastAsia" w:ascii="宋体" w:hAnsi="宋体"/>
          <w:sz w:val="24"/>
          <w:highlight w:val="none"/>
        </w:rPr>
        <w:t>所有</w:t>
      </w:r>
      <w:r>
        <w:rPr>
          <w:rFonts w:hint="eastAsia" w:ascii="宋体" w:hAnsi="宋体"/>
          <w:sz w:val="24"/>
          <w:highlight w:val="none"/>
          <w:lang w:val="en-US" w:eastAsia="zh-CN"/>
        </w:rPr>
        <w:t>投标人</w:t>
      </w:r>
      <w:r>
        <w:rPr>
          <w:rFonts w:hint="eastAsia" w:ascii="宋体" w:hAnsi="宋体"/>
          <w:sz w:val="24"/>
          <w:highlight w:val="none"/>
        </w:rPr>
        <w:t>投标文件资格性、符合性审查情况、评标结果等将在</w:t>
      </w:r>
      <w:r>
        <w:rPr>
          <w:rFonts w:hint="eastAsia" w:ascii="宋体" w:hAnsi="宋体" w:cs="宋体"/>
          <w:sz w:val="24"/>
          <w:u w:val="single"/>
          <w:lang w:val="zh-CN"/>
        </w:rPr>
        <w:t>眉山市政府采购网、四川政府采购网(http://www.ccgp-sichuan.gov.cn)、四川中岚工程项目管理有限公司官网（http://www.sczlgl.com）</w:t>
      </w:r>
      <w:r>
        <w:rPr>
          <w:rFonts w:hint="eastAsia" w:ascii="宋体" w:hAnsi="宋体"/>
          <w:sz w:val="24"/>
          <w:highlight w:val="none"/>
        </w:rPr>
        <w:t>上公告。</w:t>
      </w:r>
    </w:p>
    <w:p>
      <w:pPr>
        <w:spacing w:line="440" w:lineRule="exact"/>
        <w:ind w:firstLine="472" w:firstLineChars="196"/>
        <w:rPr>
          <w:rFonts w:ascii="宋体" w:hAnsi="宋体"/>
          <w:b/>
          <w:sz w:val="24"/>
          <w:highlight w:val="none"/>
        </w:rPr>
      </w:pPr>
      <w:r>
        <w:rPr>
          <w:rFonts w:hint="eastAsia" w:ascii="宋体" w:hAnsi="宋体"/>
          <w:b/>
          <w:sz w:val="24"/>
          <w:highlight w:val="none"/>
        </w:rPr>
        <w:t>27.中标通知书</w:t>
      </w:r>
    </w:p>
    <w:p>
      <w:pPr>
        <w:tabs>
          <w:tab w:val="left" w:pos="7665"/>
        </w:tabs>
        <w:spacing w:line="440" w:lineRule="exact"/>
        <w:ind w:firstLine="480" w:firstLineChars="200"/>
        <w:rPr>
          <w:rFonts w:ascii="宋体" w:hAnsi="宋体"/>
          <w:sz w:val="24"/>
          <w:highlight w:val="none"/>
        </w:rPr>
      </w:pPr>
      <w:r>
        <w:rPr>
          <w:rFonts w:hint="eastAsia" w:ascii="宋体" w:hAnsi="宋体"/>
          <w:sz w:val="24"/>
          <w:highlight w:val="none"/>
        </w:rPr>
        <w:t>27.1 中标通知书为签订政府采购合同的依据之一，是合同的有效组成部分。</w:t>
      </w:r>
    </w:p>
    <w:p>
      <w:pPr>
        <w:tabs>
          <w:tab w:val="left" w:pos="7665"/>
        </w:tabs>
        <w:spacing w:line="440" w:lineRule="exact"/>
        <w:ind w:firstLine="480" w:firstLineChars="200"/>
        <w:rPr>
          <w:rFonts w:ascii="宋体" w:hAnsi="宋体"/>
          <w:sz w:val="24"/>
          <w:highlight w:val="none"/>
        </w:rPr>
      </w:pPr>
      <w:r>
        <w:rPr>
          <w:rFonts w:hint="eastAsia" w:ascii="宋体" w:hAnsi="宋体"/>
          <w:sz w:val="24"/>
          <w:highlight w:val="none"/>
        </w:rPr>
        <w:t>27.2 中标公告发出后，采购人通过</w:t>
      </w:r>
      <w:r>
        <w:rPr>
          <w:rFonts w:hint="eastAsia" w:ascii="宋体" w:hAnsi="宋体"/>
          <w:sz w:val="24"/>
          <w:highlight w:val="none"/>
          <w:lang w:val="en-US" w:eastAsia="zh-CN"/>
        </w:rPr>
        <w:t>代理机构</w:t>
      </w:r>
      <w:r>
        <w:rPr>
          <w:rFonts w:hint="eastAsia" w:ascii="宋体" w:hAnsi="宋体"/>
          <w:sz w:val="24"/>
          <w:highlight w:val="none"/>
        </w:rPr>
        <w:t>发放。</w:t>
      </w:r>
    </w:p>
    <w:p>
      <w:pPr>
        <w:tabs>
          <w:tab w:val="left" w:pos="7665"/>
        </w:tabs>
        <w:spacing w:line="440" w:lineRule="exact"/>
        <w:ind w:firstLine="480" w:firstLineChars="200"/>
        <w:rPr>
          <w:rFonts w:ascii="宋体" w:hAnsi="宋体"/>
          <w:sz w:val="24"/>
          <w:highlight w:val="none"/>
        </w:rPr>
      </w:pPr>
      <w:r>
        <w:rPr>
          <w:rFonts w:hint="eastAsia" w:ascii="宋体" w:hAnsi="宋体"/>
          <w:sz w:val="24"/>
          <w:highlight w:val="none"/>
        </w:rPr>
        <w:t>27.3 中标通知书对采购人和中标人均具有法律效力。中标通知书发出后，采购人改变中标结果，或者中标人无正当理由放弃中标的，应当承担相应的法律责任。</w:t>
      </w:r>
    </w:p>
    <w:p>
      <w:pPr>
        <w:tabs>
          <w:tab w:val="left" w:pos="7665"/>
        </w:tabs>
        <w:spacing w:line="440" w:lineRule="exact"/>
        <w:ind w:firstLine="480" w:firstLineChars="200"/>
        <w:rPr>
          <w:rFonts w:ascii="宋体" w:hAnsi="宋体"/>
          <w:sz w:val="24"/>
          <w:highlight w:val="none"/>
        </w:rPr>
      </w:pPr>
      <w:r>
        <w:rPr>
          <w:rFonts w:hint="eastAsia" w:ascii="宋体" w:hAnsi="宋体"/>
          <w:sz w:val="24"/>
          <w:highlight w:val="none"/>
        </w:rPr>
        <w:t>27.4 中标人的投标文件本应作为无效投标处理或者有政府采购法律法规规章制度规定的中标无效情形的，采购人、采购代理机构在取得有权主体的认定以后，将宣布发出的中标通知书无效，并收回发出的中标通知书（中标人也应当缴回），依法重新确定中标人或者重新开展采购活动。</w:t>
      </w:r>
    </w:p>
    <w:p>
      <w:pPr>
        <w:spacing w:line="440" w:lineRule="exact"/>
        <w:rPr>
          <w:highlight w:val="none"/>
        </w:rPr>
      </w:pPr>
      <w:bookmarkStart w:id="25" w:name="EB8e75bb01f88242b4a93bd89260f6f557"/>
      <w:bookmarkEnd w:id="25"/>
    </w:p>
    <w:p>
      <w:pPr>
        <w:pStyle w:val="44"/>
        <w:spacing w:line="440" w:lineRule="exact"/>
        <w:jc w:val="center"/>
        <w:rPr>
          <w:b/>
          <w:sz w:val="32"/>
          <w:szCs w:val="32"/>
          <w:highlight w:val="none"/>
        </w:rPr>
      </w:pPr>
      <w:bookmarkStart w:id="26" w:name="EB4d684781c96440d2ab21f99c3e2ae035"/>
      <w:bookmarkEnd w:id="26"/>
      <w:bookmarkStart w:id="27" w:name="EB4504f99ba6bb4619914f2ce702da1400"/>
      <w:bookmarkEnd w:id="27"/>
      <w:bookmarkStart w:id="28" w:name="_Toc484268467"/>
      <w:r>
        <w:rPr>
          <w:rFonts w:hint="eastAsia"/>
          <w:b/>
          <w:sz w:val="32"/>
          <w:szCs w:val="32"/>
          <w:highlight w:val="none"/>
        </w:rPr>
        <w:t>六、签订及履行合同和验收</w:t>
      </w:r>
      <w:bookmarkEnd w:id="28"/>
    </w:p>
    <w:p>
      <w:pPr>
        <w:spacing w:line="440" w:lineRule="exact"/>
        <w:rPr>
          <w:rFonts w:ascii="宋体" w:hAnsi="宋体"/>
          <w:b/>
          <w:sz w:val="24"/>
          <w:highlight w:val="none"/>
        </w:rPr>
      </w:pPr>
      <w:r>
        <w:rPr>
          <w:rFonts w:hint="eastAsia" w:ascii="宋体" w:hAnsi="宋体"/>
          <w:b/>
          <w:sz w:val="24"/>
          <w:highlight w:val="none"/>
        </w:rPr>
        <w:t xml:space="preserve">    28. 签订合同</w:t>
      </w:r>
    </w:p>
    <w:p>
      <w:pPr>
        <w:spacing w:line="440" w:lineRule="exact"/>
        <w:ind w:firstLine="480" w:firstLineChars="200"/>
        <w:rPr>
          <w:rFonts w:ascii="宋体" w:hAnsi="宋体"/>
          <w:sz w:val="24"/>
          <w:highlight w:val="none"/>
        </w:rPr>
      </w:pPr>
      <w:r>
        <w:rPr>
          <w:rFonts w:hint="eastAsia" w:ascii="宋体" w:hAnsi="宋体"/>
          <w:sz w:val="24"/>
          <w:highlight w:val="none"/>
        </w:rPr>
        <w:t>28.1 中标人应在中标通知书发出之日起</w:t>
      </w:r>
      <w:r>
        <w:rPr>
          <w:rFonts w:hint="eastAsia" w:ascii="宋体" w:hAnsi="宋体"/>
          <w:sz w:val="24"/>
          <w:highlight w:val="none"/>
          <w:lang w:val="en-US" w:eastAsia="zh-CN"/>
        </w:rPr>
        <w:t>30</w:t>
      </w:r>
      <w:r>
        <w:rPr>
          <w:rFonts w:hint="eastAsia" w:ascii="宋体" w:hAnsi="宋体"/>
          <w:sz w:val="24"/>
          <w:highlight w:val="none"/>
        </w:rPr>
        <w:t>日内与采购人签订采购合同。由于中标人的原因逾期未与采购人签订采购合同的，将视为放弃中标，取消其中标资格并将按相关规定进行处理。</w:t>
      </w:r>
    </w:p>
    <w:p>
      <w:pPr>
        <w:spacing w:line="440" w:lineRule="exact"/>
        <w:ind w:firstLine="420" w:firstLineChars="175"/>
        <w:rPr>
          <w:rFonts w:ascii="宋体" w:hAnsi="宋体"/>
          <w:sz w:val="24"/>
          <w:highlight w:val="none"/>
        </w:rPr>
      </w:pPr>
      <w:r>
        <w:rPr>
          <w:rFonts w:hint="eastAsia" w:ascii="宋体" w:hAnsi="宋体"/>
          <w:sz w:val="24"/>
          <w:highlight w:val="none"/>
        </w:rPr>
        <w:t>28.2 采购人不得向中标人提出任何不合理的要求，作为签订合同的条件，不得与中标人私下订立背离合同实质性内容的任何协议，所签订的合同不得对招标文件和中标人投标文件确定的事项进行修改。</w:t>
      </w:r>
    </w:p>
    <w:p>
      <w:pPr>
        <w:spacing w:line="440" w:lineRule="exact"/>
        <w:ind w:firstLine="420" w:firstLineChars="175"/>
        <w:rPr>
          <w:rFonts w:ascii="宋体" w:hAnsi="宋体"/>
          <w:sz w:val="24"/>
          <w:highlight w:val="none"/>
        </w:rPr>
      </w:pPr>
      <w:r>
        <w:rPr>
          <w:rFonts w:hint="eastAsia" w:ascii="宋体" w:hAnsi="宋体"/>
          <w:sz w:val="24"/>
          <w:highlight w:val="none"/>
        </w:rPr>
        <w:t>28.3 中标人因不可抗力原因不能履行采购合同或放弃中标的，采购人可以与排在中标人之后第一位的中标候选人签订采购合同，以此类推。</w:t>
      </w:r>
    </w:p>
    <w:p>
      <w:pPr>
        <w:spacing w:line="440" w:lineRule="exact"/>
        <w:ind w:firstLine="420" w:firstLineChars="175"/>
        <w:rPr>
          <w:rFonts w:hint="eastAsia" w:hAnsi="宋体"/>
          <w:sz w:val="24"/>
          <w:highlight w:val="none"/>
        </w:rPr>
      </w:pPr>
      <w:r>
        <w:rPr>
          <w:rFonts w:hint="eastAsia" w:hAnsi="宋体"/>
          <w:sz w:val="24"/>
          <w:highlight w:val="none"/>
        </w:rPr>
        <w:t>招标文件所附《政府采购合同（样例）》是采购人与中标人签订合同的基本条款（如合同主要条款的内容与招标文件中的投标人须知、招标项目技术、商务及其他要求有冲突的，以投标人须知、招标项目技术、商务及其他要求为准），投标人应认真阅读。对此，请投标人参加投标前慎重考虑相关商业风险。</w:t>
      </w:r>
    </w:p>
    <w:p>
      <w:pPr>
        <w:pageBreakBefore w:val="0"/>
        <w:kinsoku/>
        <w:overflowPunct/>
        <w:autoSpaceDE/>
        <w:autoSpaceDN/>
        <w:bidi w:val="0"/>
        <w:snapToGrid/>
        <w:spacing w:line="600" w:lineRule="exact"/>
        <w:ind w:firstLine="420" w:firstLineChars="175"/>
        <w:rPr>
          <w:rFonts w:ascii="宋体" w:hAnsi="宋体"/>
          <w:color w:val="000000"/>
          <w:sz w:val="24"/>
        </w:rPr>
      </w:pPr>
      <w:r>
        <w:rPr>
          <w:rFonts w:hint="eastAsia" w:ascii="宋体" w:hAnsi="宋体"/>
          <w:color w:val="000000"/>
          <w:sz w:val="24"/>
          <w:lang w:val="en-US" w:eastAsia="zh-CN"/>
        </w:rPr>
        <w:t>28</w:t>
      </w:r>
      <w:r>
        <w:rPr>
          <w:rFonts w:hint="eastAsia" w:ascii="宋体" w:hAnsi="宋体"/>
          <w:color w:val="000000"/>
          <w:sz w:val="24"/>
        </w:rPr>
        <w:t>.4 本项目合同的签订采用以下方式进行：</w:t>
      </w:r>
    </w:p>
    <w:p>
      <w:pPr>
        <w:pageBreakBefore w:val="0"/>
        <w:kinsoku/>
        <w:overflowPunct/>
        <w:autoSpaceDE/>
        <w:autoSpaceDN/>
        <w:bidi w:val="0"/>
        <w:snapToGrid/>
        <w:spacing w:line="600" w:lineRule="exact"/>
        <w:ind w:firstLine="420" w:firstLineChars="175"/>
        <w:rPr>
          <w:rFonts w:ascii="宋体" w:hAnsi="宋体"/>
          <w:b/>
          <w:color w:val="0000FF"/>
          <w:sz w:val="24"/>
        </w:rPr>
      </w:pPr>
      <w:r>
        <w:rPr>
          <w:rFonts w:hint="eastAsia" w:ascii="宋体" w:hAnsi="宋体"/>
          <w:color w:val="000000"/>
          <w:sz w:val="24"/>
          <w:lang w:val="en-US" w:eastAsia="zh-CN"/>
        </w:rPr>
        <w:t>28</w:t>
      </w:r>
      <w:r>
        <w:rPr>
          <w:rFonts w:hint="eastAsia" w:ascii="宋体" w:hAnsi="宋体"/>
          <w:color w:val="000000"/>
          <w:sz w:val="24"/>
        </w:rPr>
        <w:t xml:space="preserve">.4.1 </w:t>
      </w:r>
      <w:r>
        <w:rPr>
          <w:rFonts w:hint="eastAsia" w:ascii="宋体" w:hAnsi="宋体"/>
          <w:b/>
          <w:color w:val="auto"/>
          <w:sz w:val="24"/>
        </w:rPr>
        <w:t>采用纸质双方签字并盖章的方式。该方式签订后中标人在2日内将复印件一式一份送至</w:t>
      </w:r>
      <w:r>
        <w:rPr>
          <w:rFonts w:hint="eastAsia" w:ascii="宋体" w:hAnsi="宋体"/>
          <w:b/>
          <w:color w:val="auto"/>
          <w:sz w:val="24"/>
          <w:u w:val="single"/>
        </w:rPr>
        <w:t>四川中岚工程项目管理有限公司</w:t>
      </w:r>
      <w:r>
        <w:rPr>
          <w:rFonts w:hint="eastAsia" w:ascii="宋体" w:hAnsi="宋体"/>
          <w:b/>
          <w:color w:val="auto"/>
          <w:sz w:val="24"/>
          <w:lang w:eastAsia="zh-CN"/>
        </w:rPr>
        <w:t>留存</w:t>
      </w:r>
      <w:r>
        <w:rPr>
          <w:rFonts w:hint="eastAsia" w:ascii="宋体" w:hAnsi="宋体"/>
          <w:b/>
          <w:color w:val="auto"/>
          <w:sz w:val="24"/>
        </w:rPr>
        <w:t>。</w:t>
      </w:r>
    </w:p>
    <w:p>
      <w:pPr>
        <w:spacing w:line="440" w:lineRule="exact"/>
        <w:ind w:firstLine="482" w:firstLineChars="200"/>
        <w:rPr>
          <w:rFonts w:ascii="宋体"/>
          <w:b/>
          <w:sz w:val="24"/>
          <w:szCs w:val="24"/>
          <w:highlight w:val="none"/>
        </w:rPr>
      </w:pPr>
      <w:r>
        <w:rPr>
          <w:rFonts w:hint="eastAsia" w:ascii="宋体" w:hAnsi="宋体"/>
          <w:b/>
          <w:sz w:val="24"/>
          <w:highlight w:val="none"/>
        </w:rPr>
        <w:t>29. 合同分包</w:t>
      </w:r>
      <w:r>
        <w:rPr>
          <w:rFonts w:hint="eastAsia" w:ascii="宋体"/>
          <w:b/>
          <w:sz w:val="24"/>
          <w:szCs w:val="24"/>
          <w:highlight w:val="none"/>
        </w:rPr>
        <w:t>（实质性要求）</w:t>
      </w:r>
    </w:p>
    <w:p>
      <w:pPr>
        <w:spacing w:line="440" w:lineRule="exact"/>
        <w:ind w:firstLine="480" w:firstLineChars="200"/>
        <w:rPr>
          <w:rFonts w:ascii="宋体" w:hAnsi="宋体"/>
          <w:b/>
          <w:sz w:val="24"/>
          <w:highlight w:val="none"/>
        </w:rPr>
      </w:pPr>
      <w:r>
        <w:rPr>
          <w:rFonts w:hint="eastAsia" w:hAnsi="宋体"/>
          <w:color w:val="000000"/>
          <w:sz w:val="24"/>
          <w:highlight w:val="none"/>
        </w:rPr>
        <w:t>本条款适用于允许分包的项目。</w:t>
      </w:r>
    </w:p>
    <w:p>
      <w:pPr>
        <w:spacing w:line="440" w:lineRule="exact"/>
        <w:ind w:firstLine="480" w:firstLineChars="200"/>
        <w:rPr>
          <w:rFonts w:ascii="宋体" w:hAnsi="宋体"/>
          <w:sz w:val="24"/>
          <w:highlight w:val="none"/>
        </w:rPr>
      </w:pPr>
      <w:r>
        <w:rPr>
          <w:rFonts w:hint="eastAsia" w:ascii="宋体" w:hAnsi="宋体"/>
          <w:sz w:val="24"/>
          <w:highlight w:val="none"/>
        </w:rPr>
        <w:t>29.1 经采购人同意，中标人可以依法采取分包方式履行合同。这种要求应当在合同签订之前征得采购人同意，并且分包供应商履行的分包项目的品牌、规格型号及技术要求、服务内容等，必须与中标的一致。</w:t>
      </w:r>
    </w:p>
    <w:p>
      <w:pPr>
        <w:spacing w:line="440" w:lineRule="exact"/>
        <w:ind w:firstLine="480" w:firstLineChars="200"/>
        <w:rPr>
          <w:rFonts w:ascii="宋体" w:hAnsi="宋体"/>
          <w:sz w:val="24"/>
          <w:highlight w:val="none"/>
        </w:rPr>
      </w:pPr>
      <w:r>
        <w:rPr>
          <w:rFonts w:hint="eastAsia" w:ascii="宋体" w:hAnsi="宋体"/>
          <w:sz w:val="24"/>
          <w:highlight w:val="none"/>
        </w:rPr>
        <w:t>分包履行合同的部分应当为采购项目的非主体、非关键性工作，不属于中标人的主要合同义务。</w:t>
      </w:r>
    </w:p>
    <w:p>
      <w:pPr>
        <w:spacing w:line="440" w:lineRule="exact"/>
        <w:ind w:firstLine="480" w:firstLineChars="200"/>
        <w:rPr>
          <w:rFonts w:ascii="宋体" w:hAnsi="宋体"/>
          <w:sz w:val="24"/>
          <w:highlight w:val="none"/>
        </w:rPr>
      </w:pPr>
      <w:r>
        <w:rPr>
          <w:rFonts w:hint="eastAsia" w:ascii="宋体" w:hAnsi="宋体"/>
          <w:sz w:val="24"/>
          <w:highlight w:val="none"/>
        </w:rPr>
        <w:t>29.2 采购合同实行分包履行的，中标人就采购项目和分包项目向采购人负责，分包供应商就分包项目承担责任。</w:t>
      </w:r>
    </w:p>
    <w:p>
      <w:pPr>
        <w:spacing w:line="440" w:lineRule="exact"/>
        <w:ind w:firstLine="540" w:firstLineChars="225"/>
        <w:rPr>
          <w:rFonts w:ascii="宋体" w:hAnsi="宋体"/>
          <w:sz w:val="24"/>
          <w:highlight w:val="none"/>
        </w:rPr>
      </w:pPr>
      <w:r>
        <w:rPr>
          <w:rFonts w:hint="eastAsia" w:ascii="宋体" w:hAnsi="宋体"/>
          <w:sz w:val="24"/>
          <w:highlight w:val="none"/>
        </w:rPr>
        <w:t>29.3</w:t>
      </w:r>
      <w:r>
        <w:rPr>
          <w:rFonts w:ascii="宋体" w:hAnsi="宋体"/>
          <w:sz w:val="24"/>
          <w:highlight w:val="none"/>
        </w:rPr>
        <w:t>中小企业依据《政府采购促进中小企业发展管理办法》（财库〔2020〕46号）规定</w:t>
      </w:r>
      <w:r>
        <w:rPr>
          <w:rFonts w:hint="eastAsia" w:ascii="宋体" w:hAnsi="宋体"/>
          <w:sz w:val="24"/>
          <w:highlight w:val="none"/>
        </w:rPr>
        <w:t>的</w:t>
      </w:r>
      <w:r>
        <w:rPr>
          <w:rFonts w:ascii="宋体" w:hAnsi="宋体"/>
          <w:sz w:val="24"/>
          <w:highlight w:val="none"/>
        </w:rPr>
        <w:t>政策获得政府采购合同的，小微企业不得将合同分包给大中型企业， 中型企业不得将合同分包给大型企业；</w:t>
      </w:r>
    </w:p>
    <w:p>
      <w:pPr>
        <w:spacing w:line="440" w:lineRule="exact"/>
        <w:ind w:firstLine="482" w:firstLineChars="200"/>
        <w:rPr>
          <w:rFonts w:ascii="宋体" w:hAnsi="宋体"/>
          <w:b/>
          <w:sz w:val="24"/>
          <w:highlight w:val="none"/>
        </w:rPr>
      </w:pPr>
      <w:r>
        <w:rPr>
          <w:rFonts w:hint="eastAsia" w:ascii="宋体" w:hAnsi="宋体"/>
          <w:b/>
          <w:sz w:val="24"/>
          <w:highlight w:val="none"/>
        </w:rPr>
        <w:t>30.合同转包</w:t>
      </w:r>
      <w:r>
        <w:rPr>
          <w:rFonts w:hint="eastAsia" w:ascii="宋体"/>
          <w:b/>
          <w:sz w:val="24"/>
          <w:szCs w:val="24"/>
          <w:highlight w:val="none"/>
        </w:rPr>
        <w:t>（实质性要求）</w:t>
      </w:r>
    </w:p>
    <w:p>
      <w:pPr>
        <w:spacing w:line="440" w:lineRule="exact"/>
        <w:ind w:firstLine="540" w:firstLineChars="225"/>
        <w:rPr>
          <w:rFonts w:ascii="宋体" w:hAnsi="宋体"/>
          <w:sz w:val="24"/>
          <w:highlight w:val="none"/>
        </w:rPr>
      </w:pPr>
      <w:r>
        <w:rPr>
          <w:rFonts w:hint="eastAsia" w:ascii="宋体" w:hAnsi="宋体"/>
          <w:sz w:val="24"/>
          <w:highlight w:val="none"/>
        </w:rPr>
        <w:t>本采购项目严禁中标人将任何政府采购合同义务转包。本项目所称转包，是指中标人将政府采购合同义务转让给第三人，并退出现有政府采购合同当事人双方的权利义务关系，受让人（即第三人）成为政府采购合同的另一方当事人的行为。</w:t>
      </w:r>
    </w:p>
    <w:p>
      <w:pPr>
        <w:spacing w:line="440" w:lineRule="exact"/>
        <w:ind w:firstLine="540" w:firstLineChars="225"/>
        <w:rPr>
          <w:rFonts w:ascii="宋体" w:hAnsi="宋体"/>
          <w:sz w:val="24"/>
          <w:highlight w:val="none"/>
        </w:rPr>
      </w:pPr>
      <w:r>
        <w:rPr>
          <w:rFonts w:hint="eastAsia" w:ascii="宋体" w:hAnsi="宋体"/>
          <w:sz w:val="24"/>
          <w:highlight w:val="none"/>
        </w:rPr>
        <w:t>中标人转包的，视同拒绝履行政府采购合同义务，将依法追究法律责任。</w:t>
      </w:r>
    </w:p>
    <w:p>
      <w:pPr>
        <w:spacing w:line="440" w:lineRule="exact"/>
        <w:ind w:firstLine="482" w:firstLineChars="200"/>
        <w:rPr>
          <w:rFonts w:ascii="宋体" w:hAnsi="宋体"/>
          <w:b/>
          <w:sz w:val="24"/>
          <w:highlight w:val="none"/>
        </w:rPr>
      </w:pPr>
      <w:r>
        <w:rPr>
          <w:rFonts w:hint="eastAsia" w:ascii="宋体" w:hAnsi="宋体"/>
          <w:b/>
          <w:sz w:val="24"/>
          <w:highlight w:val="none"/>
        </w:rPr>
        <w:t>31. 补充合同</w:t>
      </w:r>
    </w:p>
    <w:p>
      <w:pPr>
        <w:spacing w:line="440" w:lineRule="exact"/>
        <w:ind w:firstLine="480" w:firstLineChars="200"/>
        <w:rPr>
          <w:rFonts w:ascii="宋体" w:hAnsi="宋体"/>
          <w:sz w:val="24"/>
          <w:highlight w:val="none"/>
        </w:rPr>
      </w:pPr>
      <w:r>
        <w:rPr>
          <w:rFonts w:hint="eastAsia" w:ascii="宋体" w:hAnsi="宋体"/>
          <w:sz w:val="24"/>
          <w:highlight w:val="none"/>
        </w:rPr>
        <w:t xml:space="preserve">采购合同履行过程中，采购人需要追加与合同标的相同的货物或者服务的，在不改变合同其他条款的前提下，可以与中标供应商协商签订补充合同，但所有补充合同的采购金额不得超过原合同采购金额的百分之十，该补充合同应当在原政府采购合同履行过程中，不得在原政府采购合同履行结束后，且采购货物、工程和服务的名称、价格、履约方式、验收标准等必须与原政府采购合同一致。 </w:t>
      </w:r>
    </w:p>
    <w:p>
      <w:pPr>
        <w:spacing w:line="440" w:lineRule="exact"/>
        <w:ind w:firstLine="482" w:firstLineChars="200"/>
        <w:rPr>
          <w:rFonts w:ascii="宋体" w:hAnsi="宋体"/>
          <w:b/>
          <w:sz w:val="24"/>
          <w:highlight w:val="none"/>
        </w:rPr>
      </w:pPr>
      <w:r>
        <w:rPr>
          <w:rFonts w:hint="eastAsia" w:ascii="宋体" w:hAnsi="宋体"/>
          <w:b/>
          <w:sz w:val="24"/>
          <w:highlight w:val="none"/>
        </w:rPr>
        <w:t>32. 履约保证金</w:t>
      </w:r>
      <w:r>
        <w:rPr>
          <w:rFonts w:hint="eastAsia" w:ascii="宋体"/>
          <w:b/>
          <w:sz w:val="24"/>
          <w:szCs w:val="24"/>
          <w:highlight w:val="none"/>
        </w:rPr>
        <w:t>（实质性要求）</w:t>
      </w:r>
    </w:p>
    <w:p>
      <w:pPr>
        <w:spacing w:line="440" w:lineRule="exact"/>
        <w:ind w:firstLine="480" w:firstLineChars="200"/>
        <w:rPr>
          <w:rFonts w:hint="eastAsia" w:ascii="宋体" w:hAnsi="宋体" w:eastAsia="宋体" w:cs="宋体"/>
          <w:color w:val="000000"/>
          <w:sz w:val="24"/>
          <w:szCs w:val="24"/>
          <w:highlight w:val="none"/>
          <w:lang w:val="zh-CN"/>
        </w:rPr>
      </w:pPr>
      <w:r>
        <w:rPr>
          <w:rFonts w:hint="eastAsia" w:ascii="宋体" w:hAnsi="宋体" w:eastAsia="宋体" w:cs="宋体"/>
          <w:color w:val="000000"/>
          <w:sz w:val="24"/>
          <w:szCs w:val="24"/>
          <w:highlight w:val="none"/>
          <w:lang w:val="zh-CN"/>
        </w:rPr>
        <w:t>本项目不再收取履约保证金。</w:t>
      </w:r>
    </w:p>
    <w:p>
      <w:pPr>
        <w:spacing w:line="440" w:lineRule="exact"/>
        <w:ind w:firstLine="482" w:firstLineChars="200"/>
        <w:rPr>
          <w:rFonts w:ascii="宋体" w:hAnsi="宋体"/>
          <w:b/>
          <w:sz w:val="24"/>
          <w:highlight w:val="none"/>
        </w:rPr>
      </w:pPr>
      <w:r>
        <w:rPr>
          <w:rFonts w:hint="eastAsia" w:ascii="宋体" w:hAnsi="宋体"/>
          <w:b/>
          <w:sz w:val="24"/>
          <w:highlight w:val="none"/>
        </w:rPr>
        <w:t>33.合同公告</w:t>
      </w:r>
    </w:p>
    <w:p>
      <w:pPr>
        <w:spacing w:line="440" w:lineRule="exact"/>
        <w:ind w:firstLine="480" w:firstLineChars="200"/>
        <w:rPr>
          <w:rFonts w:ascii="宋体" w:hAnsi="宋体"/>
          <w:sz w:val="24"/>
          <w:highlight w:val="none"/>
        </w:rPr>
      </w:pPr>
      <w:r>
        <w:rPr>
          <w:rFonts w:hint="eastAsia" w:ascii="宋体" w:hAnsi="宋体"/>
          <w:sz w:val="24"/>
          <w:highlight w:val="none"/>
        </w:rPr>
        <w:t>采购人应当自政府采购合同签订（双方当事人均已签字盖章）之日起2个工作日内，将政府采购合同在省级以上人民政府财政部门指定的媒体上公告（四川政府采购网），但政府采购合同中涉及国家秘密、商业秘密的内容除外。</w:t>
      </w:r>
    </w:p>
    <w:p>
      <w:pPr>
        <w:spacing w:line="440" w:lineRule="exact"/>
        <w:ind w:firstLine="482" w:firstLineChars="200"/>
        <w:rPr>
          <w:rFonts w:ascii="宋体" w:hAnsi="宋体"/>
          <w:b/>
          <w:sz w:val="24"/>
          <w:highlight w:val="none"/>
        </w:rPr>
      </w:pPr>
      <w:r>
        <w:rPr>
          <w:rFonts w:hint="eastAsia" w:ascii="宋体" w:hAnsi="宋体"/>
          <w:b/>
          <w:sz w:val="24"/>
          <w:highlight w:val="none"/>
        </w:rPr>
        <w:t>34.合同备案</w:t>
      </w:r>
    </w:p>
    <w:p>
      <w:pPr>
        <w:pageBreakBefore w:val="0"/>
        <w:kinsoku/>
        <w:overflowPunct/>
        <w:autoSpaceDE/>
        <w:autoSpaceDN/>
        <w:bidi w:val="0"/>
        <w:snapToGrid/>
        <w:spacing w:line="600" w:lineRule="exact"/>
        <w:ind w:firstLine="480" w:firstLineChars="200"/>
        <w:rPr>
          <w:rFonts w:ascii="宋体" w:hAnsi="宋体"/>
          <w:sz w:val="24"/>
          <w:highlight w:val="none"/>
        </w:rPr>
      </w:pPr>
      <w:r>
        <w:rPr>
          <w:rFonts w:hint="eastAsia" w:ascii="宋体" w:hAnsi="宋体"/>
          <w:b w:val="0"/>
          <w:bCs w:val="0"/>
          <w:color w:val="000000"/>
          <w:kern w:val="2"/>
          <w:sz w:val="24"/>
          <w:szCs w:val="22"/>
          <w:lang w:val="en-US" w:eastAsia="zh-CN" w:bidi="ar-SA"/>
        </w:rPr>
        <w:t>采购人应当将政府采购合同副本自签订（双方当事人均已签字盖章）之日起七个工作日内通过四川政府采购网报同级财政部门备案。</w:t>
      </w:r>
    </w:p>
    <w:p>
      <w:pPr>
        <w:spacing w:line="440" w:lineRule="exact"/>
        <w:ind w:firstLine="482" w:firstLineChars="200"/>
        <w:rPr>
          <w:rFonts w:ascii="宋体" w:hAnsi="宋体"/>
          <w:b/>
          <w:sz w:val="24"/>
          <w:highlight w:val="none"/>
        </w:rPr>
      </w:pPr>
      <w:r>
        <w:rPr>
          <w:rFonts w:hint="eastAsia" w:ascii="宋体" w:hAnsi="宋体"/>
          <w:b/>
          <w:sz w:val="24"/>
          <w:highlight w:val="none"/>
        </w:rPr>
        <w:t>35. 履行合同</w:t>
      </w:r>
    </w:p>
    <w:p>
      <w:pPr>
        <w:spacing w:line="440" w:lineRule="exact"/>
        <w:rPr>
          <w:rFonts w:ascii="宋体" w:hAnsi="宋体"/>
          <w:sz w:val="24"/>
          <w:highlight w:val="none"/>
        </w:rPr>
      </w:pPr>
      <w:r>
        <w:rPr>
          <w:rFonts w:hint="eastAsia" w:ascii="宋体" w:hAnsi="宋体"/>
          <w:sz w:val="24"/>
          <w:highlight w:val="none"/>
        </w:rPr>
        <w:t xml:space="preserve">    35.1 中标人与采购人签订合同后，合同双方应严格执行合同条款，履行合同规定的义务，保证合同的顺利完成。</w:t>
      </w:r>
    </w:p>
    <w:p>
      <w:pPr>
        <w:spacing w:line="440" w:lineRule="exact"/>
        <w:rPr>
          <w:rFonts w:ascii="宋体" w:hAnsi="宋体"/>
          <w:sz w:val="24"/>
          <w:highlight w:val="none"/>
        </w:rPr>
      </w:pPr>
      <w:r>
        <w:rPr>
          <w:rFonts w:hint="eastAsia" w:ascii="宋体" w:hAnsi="宋体"/>
          <w:sz w:val="24"/>
          <w:highlight w:val="none"/>
        </w:rPr>
        <w:t xml:space="preserve">    35.2 在合同履行过程中，如发生合同纠纷，合同双方应按照相关法律法规进行处理。</w:t>
      </w:r>
    </w:p>
    <w:p>
      <w:pPr>
        <w:spacing w:line="440" w:lineRule="exact"/>
        <w:ind w:firstLine="482" w:firstLineChars="200"/>
        <w:rPr>
          <w:rFonts w:ascii="宋体" w:hAnsi="宋体"/>
          <w:b/>
          <w:sz w:val="24"/>
          <w:highlight w:val="none"/>
        </w:rPr>
      </w:pPr>
      <w:r>
        <w:rPr>
          <w:rFonts w:hint="eastAsia" w:ascii="宋体" w:hAnsi="宋体"/>
          <w:b/>
          <w:sz w:val="24"/>
          <w:highlight w:val="none"/>
        </w:rPr>
        <w:t>36. 验收</w:t>
      </w:r>
    </w:p>
    <w:p>
      <w:pPr>
        <w:spacing w:line="440" w:lineRule="exact"/>
        <w:ind w:firstLine="480" w:firstLineChars="200"/>
        <w:rPr>
          <w:rFonts w:ascii="宋体" w:hAnsi="宋体"/>
          <w:color w:val="auto"/>
          <w:sz w:val="24"/>
          <w:highlight w:val="none"/>
        </w:rPr>
      </w:pPr>
      <w:r>
        <w:rPr>
          <w:rFonts w:hint="eastAsia" w:ascii="宋体" w:hAnsi="宋体"/>
          <w:color w:val="auto"/>
          <w:sz w:val="24"/>
          <w:highlight w:val="none"/>
        </w:rPr>
        <w:t>36.1</w:t>
      </w:r>
      <w:r>
        <w:rPr>
          <w:rFonts w:hint="eastAsia" w:hAnsi="宋体"/>
          <w:color w:val="auto"/>
          <w:sz w:val="24"/>
          <w:highlight w:val="none"/>
        </w:rPr>
        <w:t>本项目采购人应严格按照政府采购相关法律法规以及《财政部关于进一步加强政府采购需求和履约验收管理的指导意见》（财库〔2016〕205号）要求进行验收并备案。</w:t>
      </w:r>
    </w:p>
    <w:p>
      <w:pPr>
        <w:spacing w:line="440" w:lineRule="exact"/>
        <w:ind w:firstLine="482" w:firstLineChars="200"/>
        <w:rPr>
          <w:rFonts w:ascii="宋体" w:hAnsi="宋体"/>
          <w:b/>
          <w:sz w:val="24"/>
          <w:highlight w:val="none"/>
        </w:rPr>
      </w:pPr>
      <w:r>
        <w:rPr>
          <w:rFonts w:hint="eastAsia" w:ascii="宋体" w:hAnsi="宋体"/>
          <w:b/>
          <w:sz w:val="24"/>
          <w:highlight w:val="none"/>
        </w:rPr>
        <w:t>37.资金支付</w:t>
      </w:r>
    </w:p>
    <w:p>
      <w:pPr>
        <w:pageBreakBefore w:val="0"/>
        <w:kinsoku/>
        <w:overflowPunct/>
        <w:autoSpaceDE/>
        <w:autoSpaceDN/>
        <w:bidi w:val="0"/>
        <w:snapToGrid/>
        <w:spacing w:line="600" w:lineRule="exact"/>
        <w:ind w:firstLine="480" w:firstLineChars="200"/>
        <w:rPr>
          <w:rFonts w:ascii="宋体" w:hAnsi="宋体"/>
          <w:color w:val="000000"/>
          <w:sz w:val="24"/>
        </w:rPr>
      </w:pPr>
      <w:r>
        <w:rPr>
          <w:rFonts w:hint="eastAsia" w:ascii="宋体" w:hAnsi="宋体"/>
          <w:color w:val="000000"/>
          <w:sz w:val="24"/>
        </w:rPr>
        <w:t>采购人将按照</w:t>
      </w:r>
      <w:r>
        <w:rPr>
          <w:rFonts w:hint="eastAsia" w:ascii="宋体" w:hAnsi="宋体"/>
          <w:color w:val="000000"/>
          <w:sz w:val="24"/>
          <w:lang w:eastAsia="zh-CN"/>
        </w:rPr>
        <w:t>政府采购</w:t>
      </w:r>
      <w:r>
        <w:rPr>
          <w:rFonts w:hint="eastAsia" w:ascii="宋体" w:hAnsi="宋体"/>
          <w:color w:val="000000"/>
          <w:sz w:val="24"/>
        </w:rPr>
        <w:t>合同规定和财政支付规定，及时向中标供应商支付采购资金。</w:t>
      </w:r>
    </w:p>
    <w:p>
      <w:pPr>
        <w:spacing w:line="440" w:lineRule="exact"/>
        <w:rPr>
          <w:highlight w:val="none"/>
        </w:rPr>
      </w:pPr>
      <w:bookmarkStart w:id="29" w:name="EBf553b88a6f06460b94164af85fe6978e"/>
      <w:bookmarkEnd w:id="29"/>
    </w:p>
    <w:p>
      <w:pPr>
        <w:pStyle w:val="44"/>
        <w:spacing w:line="440" w:lineRule="exact"/>
        <w:jc w:val="center"/>
        <w:rPr>
          <w:b/>
          <w:sz w:val="32"/>
          <w:szCs w:val="32"/>
          <w:highlight w:val="none"/>
        </w:rPr>
      </w:pPr>
      <w:bookmarkStart w:id="30" w:name="EB5ee3005de82242e9810bbae9c2dfb4e5"/>
      <w:bookmarkEnd w:id="30"/>
      <w:bookmarkStart w:id="31" w:name="EB60cccdc96a7c4bb1a13557c8406625bc"/>
      <w:bookmarkEnd w:id="31"/>
      <w:bookmarkStart w:id="32" w:name="_Toc484268468"/>
      <w:r>
        <w:rPr>
          <w:rFonts w:hint="eastAsia"/>
          <w:b/>
          <w:sz w:val="32"/>
          <w:szCs w:val="32"/>
          <w:highlight w:val="none"/>
        </w:rPr>
        <w:t>七、投标纪律要求</w:t>
      </w:r>
      <w:bookmarkEnd w:id="32"/>
    </w:p>
    <w:p>
      <w:pPr>
        <w:spacing w:line="440" w:lineRule="exact"/>
        <w:ind w:firstLine="482" w:firstLineChars="200"/>
        <w:rPr>
          <w:rFonts w:ascii="宋体" w:hAnsi="宋体"/>
          <w:b/>
          <w:sz w:val="24"/>
          <w:highlight w:val="none"/>
        </w:rPr>
      </w:pPr>
      <w:r>
        <w:rPr>
          <w:rFonts w:hint="eastAsia" w:ascii="宋体" w:hAnsi="宋体"/>
          <w:b/>
          <w:sz w:val="24"/>
          <w:highlight w:val="none"/>
        </w:rPr>
        <w:t>38. 投标人不得有下列情形：</w:t>
      </w:r>
    </w:p>
    <w:p>
      <w:pPr>
        <w:spacing w:line="440" w:lineRule="exact"/>
        <w:ind w:firstLine="482" w:firstLineChars="200"/>
        <w:rPr>
          <w:rFonts w:ascii="宋体" w:hAnsi="宋体"/>
          <w:b/>
          <w:sz w:val="24"/>
          <w:highlight w:val="none"/>
        </w:rPr>
      </w:pPr>
      <w:r>
        <w:rPr>
          <w:rFonts w:hint="eastAsia" w:ascii="宋体" w:hAnsi="宋体"/>
          <w:b/>
          <w:sz w:val="24"/>
          <w:highlight w:val="none"/>
        </w:rPr>
        <w:t>（1）提供虚假材料谋取中标；</w:t>
      </w:r>
    </w:p>
    <w:p>
      <w:pPr>
        <w:spacing w:line="440" w:lineRule="exact"/>
        <w:ind w:firstLine="482" w:firstLineChars="200"/>
        <w:rPr>
          <w:rFonts w:ascii="宋体" w:hAnsi="宋体"/>
          <w:b/>
          <w:sz w:val="24"/>
          <w:highlight w:val="none"/>
        </w:rPr>
      </w:pPr>
      <w:r>
        <w:rPr>
          <w:rFonts w:hint="eastAsia" w:ascii="宋体" w:hAnsi="宋体"/>
          <w:b/>
          <w:sz w:val="24"/>
          <w:highlight w:val="none"/>
        </w:rPr>
        <w:t>（2）采取不正当手段诋毁、排挤其他投标人；</w:t>
      </w:r>
    </w:p>
    <w:p>
      <w:pPr>
        <w:spacing w:line="440" w:lineRule="exact"/>
        <w:ind w:firstLine="482" w:firstLineChars="200"/>
        <w:rPr>
          <w:rFonts w:ascii="宋体" w:hAnsi="宋体"/>
          <w:b/>
          <w:sz w:val="24"/>
          <w:highlight w:val="none"/>
        </w:rPr>
      </w:pPr>
      <w:r>
        <w:rPr>
          <w:rFonts w:hint="eastAsia" w:ascii="宋体" w:hAnsi="宋体"/>
          <w:b/>
          <w:sz w:val="24"/>
          <w:highlight w:val="none"/>
        </w:rPr>
        <w:t>（3）与采购人、采购代理机构、其他投标人恶意串通；</w:t>
      </w:r>
    </w:p>
    <w:p>
      <w:pPr>
        <w:spacing w:line="440" w:lineRule="exact"/>
        <w:ind w:firstLine="482" w:firstLineChars="200"/>
        <w:rPr>
          <w:rFonts w:ascii="宋体" w:hAnsi="宋体"/>
          <w:b/>
          <w:sz w:val="24"/>
          <w:highlight w:val="none"/>
        </w:rPr>
      </w:pPr>
      <w:r>
        <w:rPr>
          <w:rFonts w:hint="eastAsia" w:ascii="宋体" w:hAnsi="宋体"/>
          <w:b/>
          <w:sz w:val="24"/>
          <w:highlight w:val="none"/>
        </w:rPr>
        <w:t>（4）向采购人、采购代理机构、评标委员会成员行贿或者提供其他不正当利益；</w:t>
      </w:r>
    </w:p>
    <w:p>
      <w:pPr>
        <w:spacing w:line="440" w:lineRule="exact"/>
        <w:ind w:firstLine="482" w:firstLineChars="200"/>
        <w:rPr>
          <w:rFonts w:ascii="宋体" w:hAnsi="宋体"/>
          <w:b/>
          <w:sz w:val="24"/>
          <w:highlight w:val="none"/>
        </w:rPr>
      </w:pPr>
      <w:r>
        <w:rPr>
          <w:rFonts w:hint="eastAsia" w:ascii="宋体" w:hAnsi="宋体"/>
          <w:b/>
          <w:sz w:val="24"/>
          <w:highlight w:val="none"/>
        </w:rPr>
        <w:t>（5）在招标过程中与采购人、采购代理机构进行协商谈判；</w:t>
      </w:r>
    </w:p>
    <w:p>
      <w:pPr>
        <w:spacing w:line="440" w:lineRule="exact"/>
        <w:ind w:firstLine="482" w:firstLineChars="200"/>
        <w:rPr>
          <w:rFonts w:ascii="宋体" w:hAnsi="宋体"/>
          <w:b/>
          <w:sz w:val="24"/>
          <w:highlight w:val="none"/>
        </w:rPr>
      </w:pPr>
      <w:r>
        <w:rPr>
          <w:rFonts w:hint="eastAsia" w:ascii="宋体" w:hAnsi="宋体"/>
          <w:b/>
          <w:sz w:val="24"/>
          <w:highlight w:val="none"/>
        </w:rPr>
        <w:t>（6）中标或者成交后无正当理由拒不与采购人签订政府采购合同；</w:t>
      </w:r>
    </w:p>
    <w:p>
      <w:pPr>
        <w:spacing w:line="440" w:lineRule="exact"/>
        <w:ind w:firstLine="482" w:firstLineChars="200"/>
        <w:rPr>
          <w:rFonts w:ascii="宋体" w:hAnsi="宋体"/>
          <w:b/>
          <w:sz w:val="24"/>
          <w:highlight w:val="none"/>
        </w:rPr>
      </w:pPr>
      <w:r>
        <w:rPr>
          <w:rFonts w:hint="eastAsia" w:ascii="宋体" w:hAnsi="宋体"/>
          <w:b/>
          <w:sz w:val="24"/>
          <w:highlight w:val="none"/>
        </w:rPr>
        <w:t>（7）未按照采购文件确定的事项签订政府采购合同；</w:t>
      </w:r>
    </w:p>
    <w:p>
      <w:pPr>
        <w:spacing w:line="440" w:lineRule="exact"/>
        <w:ind w:firstLine="482" w:firstLineChars="200"/>
        <w:rPr>
          <w:rFonts w:ascii="宋体" w:hAnsi="宋体"/>
          <w:b/>
          <w:sz w:val="24"/>
          <w:highlight w:val="none"/>
        </w:rPr>
      </w:pPr>
      <w:r>
        <w:rPr>
          <w:rFonts w:hint="eastAsia" w:ascii="宋体" w:hAnsi="宋体"/>
          <w:b/>
          <w:sz w:val="24"/>
          <w:highlight w:val="none"/>
        </w:rPr>
        <w:t>（8）将政府采购合同转包或者违规分包；</w:t>
      </w:r>
    </w:p>
    <w:p>
      <w:pPr>
        <w:spacing w:line="440" w:lineRule="exact"/>
        <w:ind w:firstLine="482" w:firstLineChars="200"/>
        <w:rPr>
          <w:rFonts w:ascii="宋体" w:hAnsi="宋体"/>
          <w:b/>
          <w:sz w:val="24"/>
          <w:highlight w:val="none"/>
        </w:rPr>
      </w:pPr>
      <w:r>
        <w:rPr>
          <w:rFonts w:hint="eastAsia" w:ascii="宋体" w:hAnsi="宋体"/>
          <w:b/>
          <w:sz w:val="24"/>
          <w:highlight w:val="none"/>
        </w:rPr>
        <w:t>（9）提供假冒伪劣产品；</w:t>
      </w:r>
    </w:p>
    <w:p>
      <w:pPr>
        <w:spacing w:line="440" w:lineRule="exact"/>
        <w:ind w:firstLine="482" w:firstLineChars="200"/>
        <w:rPr>
          <w:rFonts w:ascii="宋体" w:hAnsi="宋体"/>
          <w:b/>
          <w:sz w:val="24"/>
          <w:highlight w:val="none"/>
        </w:rPr>
      </w:pPr>
      <w:r>
        <w:rPr>
          <w:rFonts w:hint="eastAsia" w:ascii="宋体" w:hAnsi="宋体"/>
          <w:b/>
          <w:sz w:val="24"/>
          <w:highlight w:val="none"/>
        </w:rPr>
        <w:t>（10）擅自变更、中止或者终止政府采购合同；</w:t>
      </w:r>
    </w:p>
    <w:p>
      <w:pPr>
        <w:spacing w:line="440" w:lineRule="exact"/>
        <w:ind w:firstLine="482" w:firstLineChars="200"/>
        <w:rPr>
          <w:rFonts w:ascii="宋体" w:hAnsi="宋体"/>
          <w:b/>
          <w:sz w:val="24"/>
          <w:highlight w:val="none"/>
        </w:rPr>
      </w:pPr>
      <w:r>
        <w:rPr>
          <w:rFonts w:hint="eastAsia" w:ascii="宋体" w:hAnsi="宋体"/>
          <w:b/>
          <w:sz w:val="24"/>
          <w:highlight w:val="none"/>
        </w:rPr>
        <w:t>（11）拒绝有关部门的监督检查或者向监督检查部门提供虚假情况；</w:t>
      </w:r>
    </w:p>
    <w:p>
      <w:pPr>
        <w:spacing w:line="440" w:lineRule="exact"/>
        <w:ind w:firstLine="482" w:firstLineChars="200"/>
        <w:rPr>
          <w:rFonts w:ascii="宋体" w:hAnsi="宋体"/>
          <w:b/>
          <w:sz w:val="24"/>
          <w:highlight w:val="none"/>
        </w:rPr>
      </w:pPr>
      <w:r>
        <w:rPr>
          <w:rFonts w:hint="eastAsia" w:ascii="宋体" w:hAnsi="宋体"/>
          <w:b/>
          <w:sz w:val="24"/>
          <w:highlight w:val="none"/>
        </w:rPr>
        <w:t>（12）法律法规规定的其他情形。</w:t>
      </w:r>
    </w:p>
    <w:p>
      <w:pPr>
        <w:spacing w:line="440" w:lineRule="exact"/>
        <w:ind w:firstLine="482" w:firstLineChars="200"/>
        <w:rPr>
          <w:rFonts w:ascii="宋体" w:hAnsi="宋体"/>
          <w:b/>
          <w:sz w:val="24"/>
          <w:highlight w:val="none"/>
        </w:rPr>
      </w:pPr>
      <w:r>
        <w:rPr>
          <w:rFonts w:hint="eastAsia" w:ascii="宋体" w:hAnsi="宋体"/>
          <w:b/>
          <w:sz w:val="24"/>
          <w:highlight w:val="none"/>
        </w:rPr>
        <w:t>投标人有上述情形的，按照规定追究法律责任，具备（1）-（10）条情形之一的，同时将取消中标资格或者认定中标无效。</w:t>
      </w:r>
    </w:p>
    <w:p>
      <w:pPr>
        <w:spacing w:line="440" w:lineRule="exact"/>
        <w:rPr>
          <w:highlight w:val="none"/>
        </w:rPr>
      </w:pPr>
      <w:bookmarkStart w:id="33" w:name="EB2ac647fc606747f7a5cc3f67404a80eb"/>
      <w:bookmarkEnd w:id="33"/>
    </w:p>
    <w:p>
      <w:pPr>
        <w:pStyle w:val="44"/>
        <w:spacing w:line="440" w:lineRule="exact"/>
        <w:jc w:val="center"/>
        <w:rPr>
          <w:b/>
          <w:sz w:val="32"/>
          <w:szCs w:val="32"/>
          <w:highlight w:val="none"/>
        </w:rPr>
      </w:pPr>
      <w:bookmarkStart w:id="34" w:name="EBc9ae1c5953ce451ba6e6d47b64756c02"/>
      <w:bookmarkEnd w:id="34"/>
      <w:bookmarkStart w:id="35" w:name="EBdcf276fdffec47dcb76bd2e3f003d9ac"/>
      <w:bookmarkEnd w:id="35"/>
      <w:bookmarkStart w:id="36" w:name="_Toc484268469"/>
      <w:r>
        <w:rPr>
          <w:rFonts w:hint="eastAsia"/>
          <w:b/>
          <w:sz w:val="32"/>
          <w:szCs w:val="32"/>
          <w:highlight w:val="none"/>
        </w:rPr>
        <w:t>八、询问、质疑和投诉</w:t>
      </w:r>
      <w:bookmarkEnd w:id="36"/>
    </w:p>
    <w:p>
      <w:pPr>
        <w:spacing w:line="440" w:lineRule="exact"/>
        <w:ind w:firstLine="460" w:firstLineChars="192"/>
        <w:rPr>
          <w:rFonts w:ascii="宋体" w:hAnsi="宋体"/>
          <w:sz w:val="24"/>
          <w:highlight w:val="none"/>
        </w:rPr>
      </w:pPr>
      <w:r>
        <w:rPr>
          <w:rFonts w:hint="eastAsia" w:ascii="宋体" w:hAnsi="宋体"/>
          <w:sz w:val="24"/>
          <w:highlight w:val="none"/>
        </w:rPr>
        <w:t>39.询问、质疑、投诉的接收和处理严格按照《中华人民共和国政府采购法》、《中华人民共和国政府采购法实施条例》、《政府采购货物和服务招标投标管理办法》、《政府采购质疑和投诉办法》的规定办理。</w:t>
      </w:r>
    </w:p>
    <w:p>
      <w:pPr>
        <w:spacing w:line="440" w:lineRule="exact"/>
        <w:ind w:firstLine="460" w:firstLineChars="192"/>
        <w:rPr>
          <w:rFonts w:ascii="宋体" w:hAnsi="宋体"/>
          <w:sz w:val="24"/>
          <w:highlight w:val="none"/>
        </w:rPr>
      </w:pPr>
      <w:r>
        <w:rPr>
          <w:rFonts w:hint="eastAsia" w:ascii="宋体" w:hAnsi="宋体"/>
          <w:sz w:val="24"/>
          <w:highlight w:val="none"/>
        </w:rPr>
        <w:t>询问、质疑、投诉通过书面提出。</w:t>
      </w:r>
    </w:p>
    <w:p>
      <w:pPr>
        <w:pStyle w:val="44"/>
        <w:spacing w:line="440" w:lineRule="exact"/>
        <w:jc w:val="center"/>
        <w:rPr>
          <w:b/>
          <w:sz w:val="32"/>
          <w:szCs w:val="32"/>
          <w:highlight w:val="none"/>
        </w:rPr>
      </w:pPr>
      <w:bookmarkStart w:id="37" w:name="_Toc484268470"/>
      <w:r>
        <w:rPr>
          <w:rFonts w:hint="eastAsia"/>
          <w:b/>
          <w:sz w:val="32"/>
          <w:szCs w:val="32"/>
          <w:highlight w:val="none"/>
        </w:rPr>
        <w:t>九、其他</w:t>
      </w:r>
      <w:bookmarkEnd w:id="37"/>
    </w:p>
    <w:p>
      <w:pPr>
        <w:pageBreakBefore w:val="0"/>
        <w:kinsoku/>
        <w:overflowPunct/>
        <w:autoSpaceDE/>
        <w:autoSpaceDN/>
        <w:bidi w:val="0"/>
        <w:snapToGrid/>
        <w:spacing w:line="600" w:lineRule="exact"/>
        <w:ind w:firstLine="460" w:firstLineChars="192"/>
        <w:rPr>
          <w:rFonts w:hint="eastAsia" w:ascii="宋体" w:hAnsi="宋体" w:eastAsia="宋体" w:cs="Times New Roman"/>
          <w:sz w:val="24"/>
          <w:highlight w:val="none"/>
        </w:rPr>
      </w:pPr>
      <w:r>
        <w:rPr>
          <w:rFonts w:hint="eastAsia" w:ascii="宋体" w:hAnsi="宋体"/>
          <w:sz w:val="24"/>
          <w:highlight w:val="none"/>
        </w:rPr>
        <w:t>40.</w:t>
      </w:r>
      <w:r>
        <w:rPr>
          <w:rFonts w:hint="eastAsia" w:ascii="宋体" w:hAnsi="宋体"/>
          <w:color w:val="000000"/>
          <w:sz w:val="24"/>
        </w:rPr>
        <w:t>本</w:t>
      </w:r>
      <w:r>
        <w:rPr>
          <w:rFonts w:hint="eastAsia" w:ascii="宋体" w:hAnsi="宋体" w:eastAsia="宋体" w:cs="Times New Roman"/>
          <w:sz w:val="24"/>
          <w:highlight w:val="none"/>
        </w:rPr>
        <w:t>招标文件中所引相关法律制度规定，在</w:t>
      </w:r>
      <w:r>
        <w:rPr>
          <w:rFonts w:hint="eastAsia" w:ascii="宋体" w:hAnsi="宋体" w:eastAsia="宋体" w:cs="Times New Roman"/>
          <w:sz w:val="24"/>
          <w:highlight w:val="none"/>
          <w:lang w:eastAsia="zh-CN"/>
        </w:rPr>
        <w:t>政府采购</w:t>
      </w:r>
      <w:r>
        <w:rPr>
          <w:rFonts w:hint="eastAsia" w:ascii="宋体" w:hAnsi="宋体" w:eastAsia="宋体" w:cs="Times New Roman"/>
          <w:sz w:val="24"/>
          <w:highlight w:val="none"/>
        </w:rPr>
        <w:t>中有变化的，按照变化后的相关法律法规规章制度规定执行。</w:t>
      </w:r>
    </w:p>
    <w:p>
      <w:pPr>
        <w:spacing w:line="440" w:lineRule="exact"/>
        <w:ind w:firstLine="460" w:firstLineChars="192"/>
        <w:rPr>
          <w:rFonts w:ascii="宋体" w:hAnsi="宋体"/>
          <w:sz w:val="24"/>
          <w:highlight w:val="none"/>
        </w:rPr>
      </w:pPr>
    </w:p>
    <w:p>
      <w:pPr>
        <w:spacing w:line="440" w:lineRule="exact"/>
        <w:rPr>
          <w:highlight w:val="none"/>
        </w:rPr>
      </w:pPr>
      <w:bookmarkStart w:id="38" w:name="EBd7a729c224ef474c8526ff01e57c724b"/>
      <w:bookmarkEnd w:id="38"/>
    </w:p>
    <w:p>
      <w:pPr>
        <w:pStyle w:val="3"/>
        <w:pageBreakBefore/>
        <w:jc w:val="center"/>
        <w:rPr>
          <w:rFonts w:ascii="宋体" w:hAnsi="宋体"/>
          <w:highlight w:val="none"/>
        </w:rPr>
      </w:pPr>
      <w:bookmarkStart w:id="39" w:name="_Toc78978671"/>
      <w:bookmarkStart w:id="40" w:name="_Toc484268471"/>
      <w:r>
        <w:rPr>
          <w:rFonts w:hint="eastAsia" w:ascii="宋体" w:hAnsi="宋体"/>
          <w:highlight w:val="none"/>
        </w:rPr>
        <w:t>第三章  投标文件格式</w:t>
      </w:r>
      <w:bookmarkEnd w:id="39"/>
      <w:bookmarkEnd w:id="40"/>
    </w:p>
    <w:p>
      <w:pPr>
        <w:wordWrap w:val="0"/>
        <w:topLinePunct/>
        <w:rPr>
          <w:rFonts w:ascii="宋体" w:hAnsi="宋体"/>
          <w:highlight w:val="none"/>
        </w:rPr>
      </w:pPr>
    </w:p>
    <w:p>
      <w:pPr>
        <w:wordWrap w:val="0"/>
        <w:topLinePunct/>
        <w:rPr>
          <w:rFonts w:ascii="宋体" w:hAnsi="宋体"/>
          <w:highlight w:val="none"/>
        </w:rPr>
      </w:pPr>
    </w:p>
    <w:p>
      <w:pPr>
        <w:wordWrap w:val="0"/>
        <w:topLinePunct/>
        <w:rPr>
          <w:rFonts w:ascii="宋体" w:hAnsi="宋体"/>
          <w:highlight w:val="none"/>
        </w:rPr>
      </w:pPr>
    </w:p>
    <w:p>
      <w:pPr>
        <w:wordWrap w:val="0"/>
        <w:topLinePunct/>
        <w:rPr>
          <w:rFonts w:ascii="宋体" w:hAnsi="宋体"/>
          <w:highlight w:val="none"/>
        </w:rPr>
      </w:pPr>
    </w:p>
    <w:p>
      <w:pPr>
        <w:wordWrap w:val="0"/>
        <w:topLinePunct/>
        <w:rPr>
          <w:rFonts w:ascii="宋体" w:hAnsi="宋体"/>
          <w:highlight w:val="none"/>
        </w:rPr>
      </w:pPr>
    </w:p>
    <w:p>
      <w:pPr>
        <w:wordWrap w:val="0"/>
        <w:topLinePunct/>
        <w:jc w:val="center"/>
        <w:rPr>
          <w:rFonts w:ascii="宋体" w:hAnsi="宋体"/>
          <w:b/>
          <w:sz w:val="48"/>
          <w:szCs w:val="48"/>
          <w:highlight w:val="none"/>
        </w:rPr>
      </w:pPr>
    </w:p>
    <w:p>
      <w:pPr>
        <w:wordWrap w:val="0"/>
        <w:topLinePunct/>
        <w:jc w:val="center"/>
        <w:rPr>
          <w:rFonts w:ascii="宋体" w:hAnsi="宋体"/>
          <w:b/>
          <w:sz w:val="84"/>
          <w:szCs w:val="84"/>
          <w:highlight w:val="none"/>
        </w:rPr>
      </w:pPr>
      <w:r>
        <w:rPr>
          <w:rFonts w:hint="eastAsia" w:ascii="宋体" w:hAnsi="宋体"/>
          <w:b/>
          <w:sz w:val="84"/>
          <w:szCs w:val="84"/>
          <w:highlight w:val="none"/>
        </w:rPr>
        <w:t>投 标 文 件</w:t>
      </w:r>
    </w:p>
    <w:p>
      <w:pPr>
        <w:wordWrap w:val="0"/>
        <w:topLinePunct/>
        <w:jc w:val="center"/>
        <w:rPr>
          <w:rFonts w:ascii="宋体" w:hAnsi="宋体"/>
          <w:b/>
          <w:sz w:val="84"/>
          <w:szCs w:val="84"/>
          <w:highlight w:val="none"/>
        </w:rPr>
      </w:pPr>
    </w:p>
    <w:p>
      <w:pPr>
        <w:wordWrap w:val="0"/>
        <w:topLinePunct/>
        <w:spacing w:line="360" w:lineRule="auto"/>
        <w:jc w:val="center"/>
        <w:rPr>
          <w:rFonts w:ascii="宋体" w:hAnsi="宋体"/>
          <w:b/>
          <w:sz w:val="32"/>
          <w:szCs w:val="32"/>
          <w:highlight w:val="none"/>
        </w:rPr>
      </w:pPr>
    </w:p>
    <w:p>
      <w:pPr>
        <w:wordWrap w:val="0"/>
        <w:topLinePunct/>
        <w:spacing w:line="480" w:lineRule="auto"/>
        <w:jc w:val="center"/>
        <w:rPr>
          <w:rFonts w:ascii="宋体" w:hAnsi="宋体"/>
          <w:b/>
          <w:color w:val="auto"/>
          <w:sz w:val="36"/>
          <w:szCs w:val="36"/>
          <w:highlight w:val="none"/>
        </w:rPr>
      </w:pPr>
      <w:r>
        <w:rPr>
          <w:rFonts w:hint="eastAsia" w:ascii="宋体" w:hAnsi="宋体"/>
          <w:b/>
          <w:sz w:val="36"/>
          <w:szCs w:val="36"/>
          <w:highlight w:val="none"/>
        </w:rPr>
        <w:t xml:space="preserve">项目编号: </w:t>
      </w:r>
      <w:r>
        <w:rPr>
          <w:rFonts w:hint="eastAsia" w:ascii="宋体" w:hAnsi="宋体"/>
          <w:b/>
          <w:color w:val="auto"/>
          <w:sz w:val="36"/>
          <w:szCs w:val="36"/>
          <w:highlight w:val="none"/>
          <w:u w:val="single"/>
        </w:rPr>
        <w:t>___ ____</w:t>
      </w:r>
    </w:p>
    <w:p>
      <w:pPr>
        <w:wordWrap w:val="0"/>
        <w:topLinePunct/>
        <w:jc w:val="center"/>
        <w:rPr>
          <w:rFonts w:ascii="宋体" w:hAnsi="宋体"/>
          <w:b/>
          <w:color w:val="FF0000"/>
          <w:sz w:val="32"/>
          <w:szCs w:val="32"/>
          <w:highlight w:val="none"/>
          <w:u w:val="single"/>
        </w:rPr>
      </w:pPr>
      <w:r>
        <w:rPr>
          <w:rFonts w:hint="eastAsia" w:ascii="宋体" w:hAnsi="宋体"/>
          <w:b/>
          <w:sz w:val="36"/>
          <w:szCs w:val="36"/>
          <w:highlight w:val="none"/>
        </w:rPr>
        <w:t>项目名称：</w:t>
      </w:r>
      <w:r>
        <w:rPr>
          <w:rFonts w:hint="eastAsia" w:ascii="宋体" w:hAnsi="宋体"/>
          <w:b/>
          <w:color w:val="auto"/>
          <w:sz w:val="36"/>
          <w:szCs w:val="36"/>
          <w:highlight w:val="none"/>
          <w:u w:val="single"/>
        </w:rPr>
        <w:t>___</w:t>
      </w:r>
    </w:p>
    <w:p>
      <w:pPr>
        <w:wordWrap w:val="0"/>
        <w:topLinePunct/>
        <w:spacing w:line="480" w:lineRule="auto"/>
        <w:jc w:val="center"/>
        <w:rPr>
          <w:rFonts w:ascii="宋体" w:hAnsi="宋体"/>
          <w:b/>
          <w:sz w:val="36"/>
          <w:szCs w:val="36"/>
          <w:highlight w:val="none"/>
        </w:rPr>
      </w:pPr>
      <w:r>
        <w:rPr>
          <w:rFonts w:hint="eastAsia" w:ascii="宋体" w:hAnsi="宋体"/>
          <w:b/>
          <w:sz w:val="36"/>
          <w:szCs w:val="36"/>
          <w:highlight w:val="none"/>
        </w:rPr>
        <w:t xml:space="preserve"> (第包)</w:t>
      </w:r>
    </w:p>
    <w:p>
      <w:pPr>
        <w:wordWrap w:val="0"/>
        <w:topLinePunct/>
        <w:rPr>
          <w:rFonts w:ascii="宋体" w:hAnsi="宋体"/>
          <w:b/>
          <w:sz w:val="36"/>
          <w:szCs w:val="36"/>
          <w:highlight w:val="none"/>
        </w:rPr>
      </w:pPr>
    </w:p>
    <w:p>
      <w:pPr>
        <w:wordWrap w:val="0"/>
        <w:topLinePunct/>
        <w:rPr>
          <w:rFonts w:ascii="宋体" w:hAnsi="宋体"/>
          <w:sz w:val="36"/>
          <w:szCs w:val="36"/>
          <w:highlight w:val="none"/>
        </w:rPr>
      </w:pPr>
    </w:p>
    <w:p>
      <w:pPr>
        <w:wordWrap w:val="0"/>
        <w:topLinePunct/>
        <w:rPr>
          <w:rFonts w:ascii="宋体" w:hAnsi="宋体"/>
          <w:sz w:val="36"/>
          <w:szCs w:val="36"/>
          <w:highlight w:val="none"/>
        </w:rPr>
      </w:pPr>
    </w:p>
    <w:p>
      <w:pPr>
        <w:wordWrap w:val="0"/>
        <w:topLinePunct/>
        <w:rPr>
          <w:rFonts w:ascii="宋体" w:hAnsi="宋体"/>
          <w:sz w:val="36"/>
          <w:szCs w:val="36"/>
          <w:highlight w:val="none"/>
        </w:rPr>
      </w:pPr>
    </w:p>
    <w:p>
      <w:pPr>
        <w:topLinePunct/>
        <w:jc w:val="center"/>
        <w:rPr>
          <w:rFonts w:ascii="宋体" w:hAnsi="宋体"/>
          <w:b/>
          <w:sz w:val="36"/>
          <w:szCs w:val="36"/>
          <w:highlight w:val="none"/>
          <w:u w:val="single"/>
        </w:rPr>
      </w:pPr>
      <w:r>
        <w:rPr>
          <w:rFonts w:hint="eastAsia" w:ascii="宋体" w:hAnsi="宋体"/>
          <w:b/>
          <w:sz w:val="36"/>
          <w:szCs w:val="36"/>
          <w:highlight w:val="none"/>
        </w:rPr>
        <w:t>投标人名称：(签章)</w:t>
      </w:r>
    </w:p>
    <w:p>
      <w:pPr>
        <w:wordWrap w:val="0"/>
        <w:topLinePunct/>
        <w:rPr>
          <w:rFonts w:ascii="宋体" w:hAnsi="宋体"/>
          <w:b/>
          <w:sz w:val="36"/>
          <w:szCs w:val="36"/>
          <w:highlight w:val="none"/>
        </w:rPr>
      </w:pPr>
    </w:p>
    <w:p>
      <w:pPr>
        <w:widowControl/>
        <w:jc w:val="center"/>
        <w:rPr>
          <w:rFonts w:ascii="宋体" w:hAnsi="宋体"/>
          <w:b/>
          <w:sz w:val="36"/>
          <w:szCs w:val="36"/>
          <w:highlight w:val="none"/>
        </w:rPr>
      </w:pPr>
      <w:r>
        <w:rPr>
          <w:rFonts w:hint="eastAsia" w:ascii="宋体" w:hAnsi="宋体" w:cs="方正小标宋简体"/>
          <w:b/>
          <w:sz w:val="36"/>
          <w:szCs w:val="36"/>
          <w:highlight w:val="none"/>
        </w:rPr>
        <w:t xml:space="preserve">年  </w:t>
      </w:r>
      <w:r>
        <w:rPr>
          <w:rFonts w:hint="eastAsia" w:ascii="宋体" w:hAnsi="宋体"/>
          <w:b/>
          <w:sz w:val="36"/>
          <w:szCs w:val="36"/>
          <w:highlight w:val="none"/>
        </w:rPr>
        <w:t>月  日</w:t>
      </w:r>
    </w:p>
    <w:p>
      <w:pPr>
        <w:widowControl/>
        <w:ind w:firstLine="1428" w:firstLineChars="395"/>
        <w:rPr>
          <w:rFonts w:ascii="宋体" w:hAnsi="宋体"/>
          <w:b/>
          <w:sz w:val="36"/>
          <w:szCs w:val="36"/>
          <w:highlight w:val="none"/>
        </w:rPr>
      </w:pPr>
      <w:r>
        <w:rPr>
          <w:rFonts w:ascii="宋体" w:hAnsi="宋体"/>
          <w:b/>
          <w:sz w:val="36"/>
          <w:szCs w:val="36"/>
          <w:highlight w:val="none"/>
        </w:rPr>
        <w:br w:type="page"/>
      </w:r>
    </w:p>
    <w:p>
      <w:pPr>
        <w:tabs>
          <w:tab w:val="left" w:pos="7665"/>
        </w:tabs>
        <w:wordWrap w:val="0"/>
        <w:topLinePunct/>
        <w:spacing w:line="400" w:lineRule="exact"/>
        <w:rPr>
          <w:rFonts w:hAnsi="宋体"/>
          <w:sz w:val="24"/>
          <w:highlight w:val="none"/>
        </w:rPr>
      </w:pPr>
      <w:r>
        <w:rPr>
          <w:rFonts w:hint="eastAsia" w:hAnsi="宋体"/>
          <w:sz w:val="24"/>
          <w:highlight w:val="none"/>
        </w:rPr>
        <w:t>附件：密封袋的格式</w:t>
      </w:r>
    </w:p>
    <w:p>
      <w:pPr>
        <w:tabs>
          <w:tab w:val="left" w:pos="7665"/>
        </w:tabs>
        <w:wordWrap w:val="0"/>
        <w:topLinePunct/>
        <w:spacing w:line="400" w:lineRule="exact"/>
        <w:rPr>
          <w:rFonts w:hAnsi="宋体"/>
          <w:sz w:val="24"/>
          <w:highlight w:val="none"/>
        </w:rPr>
      </w:pPr>
    </w:p>
    <w:p>
      <w:pPr>
        <w:tabs>
          <w:tab w:val="left" w:pos="7665"/>
        </w:tabs>
        <w:wordWrap w:val="0"/>
        <w:topLinePunct/>
        <w:spacing w:line="400" w:lineRule="exact"/>
        <w:rPr>
          <w:rFonts w:hAnsi="宋体"/>
          <w:sz w:val="24"/>
          <w:highlight w:val="none"/>
        </w:rPr>
      </w:pPr>
    </w:p>
    <w:p>
      <w:pPr>
        <w:tabs>
          <w:tab w:val="left" w:pos="7665"/>
        </w:tabs>
        <w:wordWrap w:val="0"/>
        <w:topLinePunct/>
        <w:spacing w:line="400" w:lineRule="exact"/>
        <w:rPr>
          <w:rFonts w:hAnsi="宋体"/>
          <w:sz w:val="24"/>
          <w:highlight w:val="none"/>
        </w:rPr>
      </w:pPr>
      <w:r>
        <w:rPr>
          <w:rFonts w:hint="eastAsia" w:hAnsi="宋体"/>
          <w:sz w:val="24"/>
          <w:highlight w:val="none"/>
        </w:rPr>
        <w:t>投标文件密封袋格式：</w:t>
      </w:r>
    </w:p>
    <w:tbl>
      <w:tblPr>
        <w:tblStyle w:val="19"/>
        <w:tblW w:w="9287"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28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88" w:hRule="atLeast"/>
        </w:trPr>
        <w:tc>
          <w:tcPr>
            <w:tcW w:w="9287" w:type="dxa"/>
            <w:tcBorders>
              <w:top w:val="single" w:color="000000" w:sz="4" w:space="0"/>
              <w:left w:val="single" w:color="000000" w:sz="4" w:space="0"/>
              <w:bottom w:val="single" w:color="000000" w:sz="4" w:space="0"/>
              <w:right w:val="single" w:color="000000" w:sz="4" w:space="0"/>
            </w:tcBorders>
          </w:tcPr>
          <w:p>
            <w:pPr>
              <w:tabs>
                <w:tab w:val="left" w:pos="7665"/>
              </w:tabs>
              <w:wordWrap w:val="0"/>
              <w:topLinePunct/>
              <w:spacing w:line="400" w:lineRule="exact"/>
              <w:rPr>
                <w:rFonts w:hAnsi="宋体"/>
                <w:sz w:val="24"/>
                <w:highlight w:val="none"/>
              </w:rPr>
            </w:pPr>
          </w:p>
          <w:p>
            <w:pPr>
              <w:tabs>
                <w:tab w:val="left" w:pos="7665"/>
              </w:tabs>
              <w:wordWrap w:val="0"/>
              <w:topLinePunct/>
              <w:spacing w:line="400" w:lineRule="exact"/>
              <w:ind w:firstLine="2880" w:firstLineChars="1200"/>
              <w:rPr>
                <w:rFonts w:hAnsi="宋体"/>
                <w:sz w:val="24"/>
                <w:highlight w:val="none"/>
                <w:u w:val="single"/>
              </w:rPr>
            </w:pPr>
          </w:p>
          <w:p>
            <w:pPr>
              <w:tabs>
                <w:tab w:val="left" w:pos="7665"/>
              </w:tabs>
              <w:wordWrap w:val="0"/>
              <w:topLinePunct/>
              <w:spacing w:line="400" w:lineRule="exact"/>
              <w:ind w:firstLine="2880" w:firstLineChars="1200"/>
              <w:rPr>
                <w:rFonts w:hAnsi="宋体"/>
                <w:sz w:val="24"/>
                <w:highlight w:val="none"/>
                <w:u w:val="single"/>
              </w:rPr>
            </w:pPr>
          </w:p>
          <w:p>
            <w:pPr>
              <w:tabs>
                <w:tab w:val="left" w:pos="7665"/>
              </w:tabs>
              <w:wordWrap w:val="0"/>
              <w:topLinePunct/>
              <w:spacing w:line="400" w:lineRule="exact"/>
              <w:ind w:firstLine="2880" w:firstLineChars="1200"/>
              <w:rPr>
                <w:rFonts w:hAnsi="宋体"/>
                <w:sz w:val="24"/>
                <w:highlight w:val="none"/>
                <w:u w:val="single"/>
              </w:rPr>
            </w:pPr>
          </w:p>
          <w:p>
            <w:pPr>
              <w:tabs>
                <w:tab w:val="left" w:pos="7665"/>
              </w:tabs>
              <w:wordWrap w:val="0"/>
              <w:topLinePunct/>
              <w:spacing w:line="400" w:lineRule="exact"/>
              <w:ind w:firstLine="2880" w:firstLineChars="1200"/>
              <w:rPr>
                <w:rFonts w:hAnsi="宋体"/>
                <w:sz w:val="24"/>
                <w:highlight w:val="none"/>
                <w:u w:val="single"/>
              </w:rPr>
            </w:pPr>
          </w:p>
          <w:p>
            <w:pPr>
              <w:tabs>
                <w:tab w:val="left" w:pos="7665"/>
              </w:tabs>
              <w:wordWrap w:val="0"/>
              <w:topLinePunct/>
              <w:spacing w:line="400" w:lineRule="exact"/>
              <w:ind w:firstLine="2880" w:firstLineChars="1200"/>
              <w:rPr>
                <w:rFonts w:hAnsi="宋体"/>
                <w:sz w:val="24"/>
                <w:highlight w:val="none"/>
                <w:u w:val="single"/>
              </w:rPr>
            </w:pPr>
          </w:p>
          <w:p>
            <w:pPr>
              <w:tabs>
                <w:tab w:val="left" w:pos="7665"/>
              </w:tabs>
              <w:topLinePunct/>
              <w:spacing w:line="400" w:lineRule="exact"/>
              <w:jc w:val="center"/>
              <w:rPr>
                <w:rFonts w:hAnsi="宋体"/>
                <w:sz w:val="24"/>
                <w:highlight w:val="none"/>
                <w:u w:val="single"/>
              </w:rPr>
            </w:pPr>
            <w:r>
              <w:rPr>
                <w:rFonts w:hint="eastAsia" w:hAnsi="宋体"/>
                <w:sz w:val="24"/>
                <w:highlight w:val="none"/>
                <w:u w:val="single"/>
              </w:rPr>
              <w:t xml:space="preserve">(项目名称)                   </w:t>
            </w:r>
            <w:r>
              <w:rPr>
                <w:rFonts w:hint="eastAsia" w:hAnsi="宋体"/>
                <w:sz w:val="24"/>
                <w:highlight w:val="none"/>
              </w:rPr>
              <w:t>(第包)</w:t>
            </w:r>
          </w:p>
          <w:p>
            <w:pPr>
              <w:tabs>
                <w:tab w:val="left" w:pos="7665"/>
              </w:tabs>
              <w:wordWrap w:val="0"/>
              <w:topLinePunct/>
              <w:spacing w:line="400" w:lineRule="exact"/>
              <w:jc w:val="center"/>
              <w:rPr>
                <w:rFonts w:hAnsi="宋体"/>
                <w:b/>
                <w:sz w:val="32"/>
                <w:szCs w:val="32"/>
                <w:highlight w:val="none"/>
              </w:rPr>
            </w:pPr>
          </w:p>
          <w:p>
            <w:pPr>
              <w:tabs>
                <w:tab w:val="left" w:pos="7665"/>
              </w:tabs>
              <w:topLinePunct/>
              <w:spacing w:line="400" w:lineRule="exact"/>
              <w:jc w:val="center"/>
              <w:rPr>
                <w:rFonts w:hAnsi="宋体"/>
                <w:b/>
                <w:sz w:val="32"/>
                <w:szCs w:val="32"/>
                <w:highlight w:val="none"/>
              </w:rPr>
            </w:pPr>
            <w:r>
              <w:rPr>
                <w:rFonts w:hint="eastAsia" w:hAnsi="宋体"/>
                <w:b/>
                <w:sz w:val="32"/>
                <w:szCs w:val="32"/>
                <w:highlight w:val="none"/>
              </w:rPr>
              <w:t>投标文件</w:t>
            </w:r>
          </w:p>
          <w:p>
            <w:pPr>
              <w:tabs>
                <w:tab w:val="left" w:pos="7665"/>
              </w:tabs>
              <w:wordWrap w:val="0"/>
              <w:topLinePunct/>
              <w:spacing w:line="400" w:lineRule="exact"/>
              <w:jc w:val="center"/>
              <w:rPr>
                <w:rFonts w:hAnsi="宋体"/>
                <w:b/>
                <w:sz w:val="32"/>
                <w:szCs w:val="32"/>
                <w:highlight w:val="none"/>
              </w:rPr>
            </w:pPr>
          </w:p>
          <w:p>
            <w:pPr>
              <w:tabs>
                <w:tab w:val="left" w:pos="7665"/>
              </w:tabs>
              <w:topLinePunct/>
              <w:spacing w:line="400" w:lineRule="exact"/>
              <w:jc w:val="center"/>
              <w:rPr>
                <w:rFonts w:hAnsi="宋体"/>
                <w:sz w:val="24"/>
                <w:highlight w:val="none"/>
              </w:rPr>
            </w:pPr>
            <w:r>
              <w:rPr>
                <w:rFonts w:hint="eastAsia" w:hAnsi="宋体"/>
                <w:sz w:val="24"/>
                <w:highlight w:val="none"/>
              </w:rPr>
              <w:t>(投标人名称)</w:t>
            </w:r>
          </w:p>
          <w:p>
            <w:pPr>
              <w:tabs>
                <w:tab w:val="left" w:pos="7665"/>
              </w:tabs>
              <w:wordWrap w:val="0"/>
              <w:topLinePunct/>
              <w:spacing w:line="400" w:lineRule="exact"/>
              <w:rPr>
                <w:rFonts w:hAnsi="宋体"/>
                <w:sz w:val="24"/>
                <w:highlight w:val="none"/>
              </w:rPr>
            </w:pPr>
          </w:p>
        </w:tc>
      </w:tr>
    </w:tbl>
    <w:p>
      <w:pPr>
        <w:wordWrap w:val="0"/>
        <w:topLinePunct/>
        <w:spacing w:line="1000" w:lineRule="exact"/>
        <w:rPr>
          <w:rFonts w:ascii="方正小标宋简体" w:eastAsia="方正小标宋简体"/>
          <w:b/>
          <w:sz w:val="48"/>
          <w:szCs w:val="48"/>
          <w:highlight w:val="none"/>
        </w:rPr>
      </w:pPr>
    </w:p>
    <w:p>
      <w:pPr>
        <w:wordWrap w:val="0"/>
        <w:topLinePunct/>
        <w:spacing w:line="360" w:lineRule="auto"/>
        <w:rPr>
          <w:rFonts w:ascii="宋体" w:hAnsi="宋体"/>
          <w:b/>
          <w:sz w:val="32"/>
          <w:szCs w:val="32"/>
          <w:highlight w:val="none"/>
        </w:rPr>
      </w:pPr>
    </w:p>
    <w:p>
      <w:pPr>
        <w:widowControl/>
        <w:jc w:val="left"/>
        <w:rPr>
          <w:rFonts w:ascii="宋体" w:hAnsi="宋体"/>
          <w:sz w:val="24"/>
          <w:highlight w:val="none"/>
        </w:rPr>
      </w:pPr>
      <w:r>
        <w:rPr>
          <w:rFonts w:ascii="宋体" w:hAnsi="宋体"/>
          <w:sz w:val="24"/>
          <w:highlight w:val="none"/>
        </w:rPr>
        <w:br w:type="page"/>
      </w:r>
    </w:p>
    <w:p>
      <w:pPr>
        <w:jc w:val="center"/>
        <w:rPr>
          <w:rFonts w:ascii="宋体" w:hAnsi="宋体"/>
          <w:b/>
          <w:sz w:val="39"/>
          <w:highlight w:val="none"/>
        </w:rPr>
      </w:pPr>
      <w:r>
        <w:rPr>
          <w:rFonts w:hint="eastAsia" w:ascii="宋体" w:hAnsi="宋体"/>
          <w:b/>
          <w:sz w:val="39"/>
          <w:highlight w:val="none"/>
        </w:rPr>
        <w:t>目    录</w:t>
      </w:r>
    </w:p>
    <w:p>
      <w:pPr>
        <w:jc w:val="center"/>
        <w:rPr>
          <w:rFonts w:ascii="宋体" w:hAnsi="宋体"/>
          <w:highlight w:val="none"/>
        </w:rPr>
      </w:pPr>
      <w:r>
        <w:rPr>
          <w:rFonts w:hint="eastAsia" w:ascii="宋体" w:hAnsi="宋体"/>
          <w:highlight w:val="none"/>
        </w:rPr>
        <w:t>（投标文件组成）</w:t>
      </w:r>
    </w:p>
    <w:p>
      <w:pPr>
        <w:wordWrap w:val="0"/>
        <w:topLinePunct/>
        <w:spacing w:line="360" w:lineRule="auto"/>
        <w:ind w:firstLine="600" w:firstLineChars="250"/>
        <w:rPr>
          <w:rFonts w:ascii="宋体" w:hAnsi="宋体"/>
          <w:sz w:val="24"/>
          <w:highlight w:val="none"/>
        </w:rPr>
      </w:pPr>
      <w:r>
        <w:rPr>
          <w:rFonts w:hint="eastAsia" w:ascii="宋体" w:hAnsi="宋体"/>
          <w:sz w:val="24"/>
          <w:highlight w:val="none"/>
        </w:rPr>
        <w:t>一、</w:t>
      </w:r>
      <w:r>
        <w:rPr>
          <w:rFonts w:hint="eastAsia" w:cs="宋体"/>
          <w:sz w:val="24"/>
          <w:highlight w:val="none"/>
        </w:rPr>
        <w:t>评审索引</w:t>
      </w:r>
    </w:p>
    <w:p>
      <w:pPr>
        <w:wordWrap w:val="0"/>
        <w:topLinePunct/>
        <w:spacing w:line="360" w:lineRule="auto"/>
        <w:ind w:firstLine="600" w:firstLineChars="250"/>
        <w:rPr>
          <w:rFonts w:ascii="宋体" w:hAnsi="宋体"/>
          <w:sz w:val="24"/>
          <w:highlight w:val="none"/>
        </w:rPr>
      </w:pPr>
      <w:r>
        <w:rPr>
          <w:rFonts w:hint="eastAsia" w:ascii="宋体" w:hAnsi="宋体"/>
          <w:sz w:val="24"/>
          <w:highlight w:val="none"/>
        </w:rPr>
        <w:t>二、</w:t>
      </w:r>
      <w:r>
        <w:rPr>
          <w:rFonts w:ascii="宋体" w:hAnsi="宋体"/>
          <w:sz w:val="24"/>
          <w:highlight w:val="none"/>
        </w:rPr>
        <w:t>投标函</w:t>
      </w:r>
    </w:p>
    <w:p>
      <w:pPr>
        <w:wordWrap w:val="0"/>
        <w:topLinePunct/>
        <w:spacing w:line="360" w:lineRule="auto"/>
        <w:ind w:firstLine="600" w:firstLineChars="250"/>
        <w:rPr>
          <w:rFonts w:ascii="宋体" w:hAnsi="宋体"/>
          <w:color w:val="auto"/>
          <w:sz w:val="24"/>
          <w:highlight w:val="none"/>
        </w:rPr>
      </w:pPr>
      <w:r>
        <w:rPr>
          <w:rFonts w:hint="eastAsia" w:ascii="宋体" w:hAnsi="宋体"/>
          <w:color w:val="auto"/>
          <w:sz w:val="24"/>
          <w:highlight w:val="none"/>
        </w:rPr>
        <w:t>三、法定代表人（负责人）授权书或法定代表人（负责人）证明书</w:t>
      </w:r>
    </w:p>
    <w:p>
      <w:pPr>
        <w:wordWrap w:val="0"/>
        <w:topLinePunct/>
        <w:spacing w:line="360" w:lineRule="auto"/>
        <w:ind w:firstLine="600" w:firstLineChars="250"/>
        <w:rPr>
          <w:rFonts w:ascii="宋体" w:hAnsi="宋体"/>
          <w:sz w:val="24"/>
          <w:highlight w:val="none"/>
        </w:rPr>
      </w:pPr>
      <w:r>
        <w:rPr>
          <w:rFonts w:hint="eastAsia" w:ascii="宋体" w:hAnsi="宋体"/>
          <w:sz w:val="24"/>
          <w:highlight w:val="none"/>
        </w:rPr>
        <w:t>四、开标一览表</w:t>
      </w:r>
    </w:p>
    <w:p>
      <w:pPr>
        <w:wordWrap w:val="0"/>
        <w:topLinePunct/>
        <w:spacing w:line="360" w:lineRule="auto"/>
        <w:ind w:firstLine="600" w:firstLineChars="250"/>
        <w:rPr>
          <w:rFonts w:ascii="宋体" w:hAnsi="宋体"/>
          <w:color w:val="auto"/>
          <w:sz w:val="24"/>
          <w:highlight w:val="none"/>
        </w:rPr>
      </w:pPr>
      <w:r>
        <w:rPr>
          <w:rFonts w:hint="eastAsia" w:ascii="宋体" w:hAnsi="宋体"/>
          <w:color w:val="auto"/>
          <w:sz w:val="24"/>
          <w:highlight w:val="none"/>
        </w:rPr>
        <w:t>五、投标人基本情况一览表</w:t>
      </w:r>
    </w:p>
    <w:p>
      <w:pPr>
        <w:wordWrap w:val="0"/>
        <w:topLinePunct/>
        <w:spacing w:line="360" w:lineRule="auto"/>
        <w:ind w:firstLine="600" w:firstLineChars="250"/>
        <w:rPr>
          <w:rFonts w:ascii="宋体" w:hAnsi="宋体"/>
          <w:sz w:val="24"/>
          <w:highlight w:val="none"/>
        </w:rPr>
      </w:pPr>
      <w:r>
        <w:rPr>
          <w:rFonts w:hint="eastAsia" w:ascii="宋体" w:hAnsi="宋体"/>
          <w:sz w:val="24"/>
          <w:highlight w:val="none"/>
        </w:rPr>
        <w:t>六、</w:t>
      </w:r>
      <w:r>
        <w:rPr>
          <w:rFonts w:ascii="宋体" w:hAnsi="宋体"/>
          <w:sz w:val="24"/>
          <w:highlight w:val="none"/>
        </w:rPr>
        <w:t>法人或者其他组织的营业执照等证明文件，自然人的身份证明</w:t>
      </w:r>
    </w:p>
    <w:p>
      <w:pPr>
        <w:wordWrap w:val="0"/>
        <w:topLinePunct/>
        <w:spacing w:line="360" w:lineRule="auto"/>
        <w:ind w:firstLine="600" w:firstLineChars="250"/>
        <w:rPr>
          <w:rFonts w:ascii="宋体" w:hAnsi="宋体"/>
          <w:sz w:val="24"/>
          <w:highlight w:val="none"/>
        </w:rPr>
      </w:pPr>
      <w:r>
        <w:rPr>
          <w:rFonts w:hint="eastAsia" w:ascii="宋体" w:hAnsi="宋体"/>
          <w:sz w:val="24"/>
          <w:highlight w:val="none"/>
        </w:rPr>
        <w:t>七、法律、行政法规规定的其他条件的证明材料</w:t>
      </w:r>
    </w:p>
    <w:p>
      <w:pPr>
        <w:wordWrap w:val="0"/>
        <w:topLinePunct/>
        <w:spacing w:line="360" w:lineRule="auto"/>
        <w:ind w:firstLine="600" w:firstLineChars="250"/>
        <w:rPr>
          <w:rFonts w:ascii="宋体" w:hAnsi="宋体"/>
          <w:sz w:val="24"/>
          <w:highlight w:val="none"/>
        </w:rPr>
      </w:pPr>
      <w:r>
        <w:rPr>
          <w:rFonts w:hint="eastAsia" w:ascii="宋体" w:hAnsi="宋体"/>
          <w:sz w:val="24"/>
          <w:highlight w:val="none"/>
        </w:rPr>
        <w:t>八、根据采购项目提出的特殊条件的证明材料</w:t>
      </w:r>
    </w:p>
    <w:p>
      <w:pPr>
        <w:wordWrap w:val="0"/>
        <w:topLinePunct/>
        <w:spacing w:line="360" w:lineRule="auto"/>
        <w:ind w:firstLine="600" w:firstLineChars="250"/>
        <w:rPr>
          <w:rFonts w:ascii="宋体" w:hAnsi="宋体"/>
          <w:sz w:val="24"/>
          <w:highlight w:val="none"/>
        </w:rPr>
      </w:pPr>
      <w:r>
        <w:rPr>
          <w:rFonts w:hint="eastAsia" w:ascii="宋体" w:hAnsi="宋体"/>
          <w:sz w:val="24"/>
          <w:highlight w:val="none"/>
        </w:rPr>
        <w:t xml:space="preserve">九、投标承诺及声明 </w:t>
      </w:r>
    </w:p>
    <w:p>
      <w:pPr>
        <w:wordWrap w:val="0"/>
        <w:topLinePunct/>
        <w:spacing w:line="360" w:lineRule="auto"/>
        <w:ind w:firstLine="600" w:firstLineChars="250"/>
        <w:rPr>
          <w:rFonts w:ascii="宋体" w:hAnsi="宋体"/>
          <w:sz w:val="24"/>
          <w:highlight w:val="none"/>
        </w:rPr>
      </w:pPr>
      <w:r>
        <w:rPr>
          <w:rFonts w:hint="eastAsia" w:ascii="宋体" w:hAnsi="宋体"/>
          <w:sz w:val="24"/>
          <w:highlight w:val="none"/>
        </w:rPr>
        <w:t>十、报价明细表</w:t>
      </w:r>
    </w:p>
    <w:p>
      <w:pPr>
        <w:wordWrap w:val="0"/>
        <w:topLinePunct/>
        <w:spacing w:line="360" w:lineRule="auto"/>
        <w:ind w:firstLine="600" w:firstLineChars="250"/>
        <w:rPr>
          <w:rFonts w:ascii="宋体" w:hAnsi="宋体"/>
          <w:sz w:val="24"/>
          <w:highlight w:val="none"/>
        </w:rPr>
      </w:pPr>
      <w:r>
        <w:rPr>
          <w:rFonts w:hint="eastAsia" w:ascii="宋体" w:hAnsi="宋体"/>
          <w:sz w:val="24"/>
          <w:highlight w:val="none"/>
        </w:rPr>
        <w:t>十一、投标技术服务响应表</w:t>
      </w:r>
    </w:p>
    <w:p>
      <w:pPr>
        <w:wordWrap w:val="0"/>
        <w:topLinePunct/>
        <w:spacing w:line="360" w:lineRule="auto"/>
        <w:ind w:firstLine="600" w:firstLineChars="250"/>
        <w:rPr>
          <w:rFonts w:ascii="宋体" w:hAnsi="宋体"/>
          <w:sz w:val="24"/>
          <w:highlight w:val="none"/>
        </w:rPr>
      </w:pPr>
      <w:r>
        <w:rPr>
          <w:rFonts w:hint="eastAsia" w:ascii="宋体" w:hAnsi="宋体"/>
          <w:sz w:val="24"/>
          <w:highlight w:val="none"/>
        </w:rPr>
        <w:t>十二、技术、服务方案和售后服务措施</w:t>
      </w:r>
    </w:p>
    <w:p>
      <w:pPr>
        <w:wordWrap w:val="0"/>
        <w:topLinePunct/>
        <w:spacing w:line="360" w:lineRule="auto"/>
        <w:ind w:firstLine="600" w:firstLineChars="250"/>
        <w:rPr>
          <w:rFonts w:ascii="宋体" w:hAnsi="宋体"/>
          <w:sz w:val="24"/>
          <w:highlight w:val="none"/>
        </w:rPr>
      </w:pPr>
      <w:r>
        <w:rPr>
          <w:rFonts w:hint="eastAsia" w:ascii="宋体" w:hAnsi="宋体"/>
          <w:sz w:val="24"/>
          <w:highlight w:val="none"/>
        </w:rPr>
        <w:t>十三、投标人类似项目业绩一览表</w:t>
      </w:r>
    </w:p>
    <w:p>
      <w:pPr>
        <w:wordWrap w:val="0"/>
        <w:topLinePunct/>
        <w:spacing w:line="360" w:lineRule="auto"/>
        <w:ind w:firstLine="600" w:firstLineChars="250"/>
        <w:rPr>
          <w:rFonts w:ascii="宋体" w:hAnsi="宋体"/>
          <w:sz w:val="24"/>
          <w:highlight w:val="none"/>
        </w:rPr>
      </w:pPr>
      <w:r>
        <w:rPr>
          <w:rFonts w:hint="eastAsia" w:ascii="宋体" w:hAnsi="宋体"/>
          <w:sz w:val="24"/>
          <w:highlight w:val="none"/>
        </w:rPr>
        <w:t>十四、中小企业声明函</w:t>
      </w:r>
    </w:p>
    <w:p>
      <w:pPr>
        <w:wordWrap w:val="0"/>
        <w:topLinePunct/>
        <w:spacing w:line="360" w:lineRule="auto"/>
        <w:ind w:firstLine="600" w:firstLineChars="250"/>
        <w:rPr>
          <w:rFonts w:ascii="宋体" w:hAnsi="宋体"/>
          <w:sz w:val="24"/>
          <w:highlight w:val="none"/>
        </w:rPr>
      </w:pPr>
      <w:r>
        <w:rPr>
          <w:rFonts w:hint="eastAsia" w:ascii="宋体" w:hAnsi="宋体"/>
          <w:bCs/>
          <w:color w:val="auto"/>
          <w:sz w:val="24"/>
          <w:highlight w:val="none"/>
        </w:rPr>
        <w:t>十六、</w:t>
      </w:r>
      <w:r>
        <w:rPr>
          <w:rFonts w:ascii="宋体" w:hAnsi="宋体"/>
          <w:sz w:val="24"/>
          <w:highlight w:val="none"/>
        </w:rPr>
        <w:t>其他材料</w:t>
      </w:r>
    </w:p>
    <w:p>
      <w:pPr>
        <w:wordWrap w:val="0"/>
        <w:topLinePunct/>
        <w:spacing w:line="360" w:lineRule="auto"/>
        <w:ind w:firstLine="600" w:firstLineChars="250"/>
        <w:rPr>
          <w:rFonts w:ascii="宋体" w:hAnsi="宋体"/>
          <w:sz w:val="24"/>
          <w:highlight w:val="none"/>
        </w:rPr>
      </w:pPr>
    </w:p>
    <w:p>
      <w:pPr>
        <w:rPr>
          <w:rFonts w:ascii="宋体" w:hAnsi="宋体"/>
          <w:sz w:val="24"/>
          <w:highlight w:val="none"/>
        </w:rPr>
      </w:pPr>
      <w:r>
        <w:rPr>
          <w:rFonts w:ascii="宋体" w:hAnsi="宋体"/>
          <w:sz w:val="24"/>
          <w:highlight w:val="none"/>
        </w:rPr>
        <w:br w:type="page"/>
      </w:r>
    </w:p>
    <w:p>
      <w:pPr>
        <w:jc w:val="center"/>
        <w:rPr>
          <w:highlight w:val="none"/>
        </w:rPr>
      </w:pPr>
      <w:r>
        <w:rPr>
          <w:rFonts w:hint="eastAsia" w:ascii="宋体" w:hAnsi="宋体" w:cs="宋体"/>
          <w:b/>
          <w:sz w:val="32"/>
          <w:highlight w:val="none"/>
        </w:rPr>
        <w:t>一、评审索引</w:t>
      </w:r>
    </w:p>
    <w:p>
      <w:pPr>
        <w:spacing w:line="360" w:lineRule="auto"/>
        <w:jc w:val="center"/>
        <w:rPr>
          <w:rFonts w:asciiTheme="minorEastAsia" w:hAnsiTheme="minorEastAsia" w:eastAsiaTheme="minorEastAsia"/>
          <w:sz w:val="24"/>
          <w:szCs w:val="24"/>
          <w:highlight w:val="none"/>
        </w:rPr>
      </w:pPr>
    </w:p>
    <w:p>
      <w:pPr>
        <w:spacing w:line="360" w:lineRule="auto"/>
        <w:jc w:val="left"/>
        <w:rPr>
          <w:rFonts w:asciiTheme="minorEastAsia" w:hAnsiTheme="minorEastAsia" w:eastAsiaTheme="minorEastAsia"/>
          <w:sz w:val="24"/>
          <w:szCs w:val="24"/>
          <w:highlight w:val="none"/>
        </w:rPr>
      </w:pPr>
      <w:r>
        <w:rPr>
          <w:rFonts w:hint="eastAsia" w:cs="宋体" w:asciiTheme="minorEastAsia" w:hAnsiTheme="minorEastAsia" w:eastAsiaTheme="minorEastAsia"/>
          <w:sz w:val="24"/>
          <w:szCs w:val="24"/>
          <w:highlight w:val="none"/>
        </w:rPr>
        <w:t>编制要求：</w:t>
      </w:r>
    </w:p>
    <w:p>
      <w:pPr>
        <w:spacing w:line="360" w:lineRule="auto"/>
        <w:ind w:firstLine="480" w:firstLineChars="200"/>
        <w:jc w:val="left"/>
        <w:rPr>
          <w:rFonts w:asciiTheme="minorEastAsia" w:hAnsiTheme="minorEastAsia" w:eastAsiaTheme="minorEastAsia"/>
          <w:sz w:val="24"/>
          <w:szCs w:val="24"/>
          <w:highlight w:val="none"/>
        </w:rPr>
      </w:pPr>
      <w:r>
        <w:rPr>
          <w:rFonts w:asciiTheme="minorEastAsia" w:hAnsiTheme="minorEastAsia" w:eastAsiaTheme="minorEastAsia"/>
          <w:sz w:val="24"/>
          <w:szCs w:val="24"/>
          <w:highlight w:val="none"/>
        </w:rPr>
        <w:t>1</w:t>
      </w:r>
      <w:r>
        <w:rPr>
          <w:rFonts w:hint="eastAsia" w:cs="宋体" w:asciiTheme="minorEastAsia" w:hAnsiTheme="minorEastAsia" w:eastAsiaTheme="minorEastAsia"/>
          <w:sz w:val="24"/>
          <w:szCs w:val="24"/>
          <w:highlight w:val="none"/>
        </w:rPr>
        <w:t>、供应商须对以下内容编制评审索引：（</w:t>
      </w:r>
      <w:r>
        <w:rPr>
          <w:rFonts w:asciiTheme="minorEastAsia" w:hAnsiTheme="minorEastAsia" w:eastAsiaTheme="minorEastAsia"/>
          <w:sz w:val="24"/>
          <w:szCs w:val="24"/>
          <w:highlight w:val="none"/>
        </w:rPr>
        <w:t>1</w:t>
      </w:r>
      <w:r>
        <w:rPr>
          <w:rFonts w:hint="eastAsia" w:cs="宋体" w:asciiTheme="minorEastAsia" w:hAnsiTheme="minorEastAsia" w:eastAsiaTheme="minorEastAsia"/>
          <w:sz w:val="24"/>
          <w:szCs w:val="24"/>
          <w:highlight w:val="none"/>
        </w:rPr>
        <w:t>）资格审查材料，（</w:t>
      </w:r>
      <w:r>
        <w:rPr>
          <w:rFonts w:asciiTheme="minorEastAsia" w:hAnsiTheme="minorEastAsia" w:eastAsiaTheme="minorEastAsia"/>
          <w:sz w:val="24"/>
          <w:szCs w:val="24"/>
          <w:highlight w:val="none"/>
        </w:rPr>
        <w:t>2</w:t>
      </w:r>
      <w:r>
        <w:rPr>
          <w:rFonts w:hint="eastAsia" w:cs="宋体" w:asciiTheme="minorEastAsia" w:hAnsiTheme="minorEastAsia" w:eastAsiaTheme="minorEastAsia"/>
          <w:sz w:val="24"/>
          <w:szCs w:val="24"/>
          <w:highlight w:val="none"/>
        </w:rPr>
        <w:t>）第四章采购项目技术、服务及其他要求中须要提供的证明材料，（</w:t>
      </w:r>
      <w:r>
        <w:rPr>
          <w:rFonts w:asciiTheme="minorEastAsia" w:hAnsiTheme="minorEastAsia" w:eastAsiaTheme="minorEastAsia"/>
          <w:sz w:val="24"/>
          <w:szCs w:val="24"/>
          <w:highlight w:val="none"/>
        </w:rPr>
        <w:t>3</w:t>
      </w:r>
      <w:r>
        <w:rPr>
          <w:rFonts w:hint="eastAsia" w:cs="宋体" w:asciiTheme="minorEastAsia" w:hAnsiTheme="minorEastAsia" w:eastAsiaTheme="minorEastAsia"/>
          <w:sz w:val="24"/>
          <w:szCs w:val="24"/>
          <w:highlight w:val="none"/>
        </w:rPr>
        <w:t>）第五章的综合评分明细表对应的材料编制评审索引。</w:t>
      </w:r>
    </w:p>
    <w:p>
      <w:pPr>
        <w:spacing w:line="360" w:lineRule="auto"/>
        <w:ind w:firstLine="480" w:firstLineChars="200"/>
        <w:jc w:val="left"/>
        <w:rPr>
          <w:rFonts w:asciiTheme="minorEastAsia" w:hAnsiTheme="minorEastAsia" w:eastAsiaTheme="minorEastAsia"/>
          <w:sz w:val="24"/>
          <w:szCs w:val="24"/>
          <w:highlight w:val="none"/>
        </w:rPr>
      </w:pPr>
      <w:r>
        <w:rPr>
          <w:rFonts w:asciiTheme="minorEastAsia" w:hAnsiTheme="minorEastAsia" w:eastAsiaTheme="minorEastAsia"/>
          <w:sz w:val="24"/>
          <w:szCs w:val="24"/>
          <w:highlight w:val="none"/>
        </w:rPr>
        <w:t>2</w:t>
      </w:r>
      <w:r>
        <w:rPr>
          <w:rFonts w:hint="eastAsia" w:cs="宋体" w:asciiTheme="minorEastAsia" w:hAnsiTheme="minorEastAsia" w:eastAsiaTheme="minorEastAsia"/>
          <w:sz w:val="24"/>
          <w:szCs w:val="24"/>
          <w:highlight w:val="none"/>
        </w:rPr>
        <w:t>、格式由供应商自拟，但须包含以下内容：（</w:t>
      </w:r>
      <w:r>
        <w:rPr>
          <w:rFonts w:asciiTheme="minorEastAsia" w:hAnsiTheme="minorEastAsia" w:eastAsiaTheme="minorEastAsia"/>
          <w:sz w:val="24"/>
          <w:szCs w:val="24"/>
          <w:highlight w:val="none"/>
        </w:rPr>
        <w:t>1</w:t>
      </w:r>
      <w:r>
        <w:rPr>
          <w:rFonts w:hint="eastAsia" w:cs="宋体" w:asciiTheme="minorEastAsia" w:hAnsiTheme="minorEastAsia" w:eastAsiaTheme="minorEastAsia"/>
          <w:sz w:val="24"/>
          <w:szCs w:val="24"/>
          <w:highlight w:val="none"/>
        </w:rPr>
        <w:t>）明确采购文件要求以及对应的证明材料是否提供，（</w:t>
      </w:r>
      <w:r>
        <w:rPr>
          <w:rFonts w:asciiTheme="minorEastAsia" w:hAnsiTheme="minorEastAsia" w:eastAsiaTheme="minorEastAsia"/>
          <w:sz w:val="24"/>
          <w:szCs w:val="24"/>
          <w:highlight w:val="none"/>
        </w:rPr>
        <w:t>2</w:t>
      </w:r>
      <w:r>
        <w:rPr>
          <w:rFonts w:hint="eastAsia" w:cs="宋体" w:asciiTheme="minorEastAsia" w:hAnsiTheme="minorEastAsia" w:eastAsiaTheme="minorEastAsia"/>
          <w:sz w:val="24"/>
          <w:szCs w:val="24"/>
          <w:highlight w:val="none"/>
        </w:rPr>
        <w:t>）列明证明材料其在响应文件中的页码。</w:t>
      </w:r>
    </w:p>
    <w:p>
      <w:pPr>
        <w:spacing w:line="360" w:lineRule="auto"/>
        <w:jc w:val="left"/>
        <w:rPr>
          <w:rFonts w:ascii="宋体" w:hAnsi="宋体"/>
          <w:sz w:val="24"/>
          <w:highlight w:val="none"/>
        </w:rPr>
      </w:pPr>
      <w:r>
        <w:rPr>
          <w:rFonts w:ascii="宋体" w:hAnsi="宋体"/>
          <w:sz w:val="24"/>
          <w:highlight w:val="none"/>
        </w:rPr>
        <w:br w:type="page"/>
      </w:r>
    </w:p>
    <w:p>
      <w:pPr>
        <w:jc w:val="center"/>
        <w:rPr>
          <w:rFonts w:ascii="宋体" w:hAnsi="宋体" w:cs="宋体"/>
          <w:b/>
          <w:sz w:val="32"/>
          <w:highlight w:val="none"/>
        </w:rPr>
      </w:pPr>
      <w:r>
        <w:rPr>
          <w:rFonts w:hint="eastAsia" w:ascii="宋体" w:hAnsi="宋体" w:cs="宋体"/>
          <w:b/>
          <w:sz w:val="32"/>
          <w:highlight w:val="none"/>
        </w:rPr>
        <w:t>二、投 标 函</w:t>
      </w:r>
    </w:p>
    <w:p>
      <w:pPr>
        <w:pStyle w:val="11"/>
        <w:wordWrap w:val="0"/>
        <w:topLinePunct/>
        <w:spacing w:after="0" w:line="440" w:lineRule="exact"/>
        <w:rPr>
          <w:rFonts w:ascii="宋体" w:hAnsi="宋体"/>
          <w:bCs/>
          <w:sz w:val="24"/>
          <w:highlight w:val="none"/>
          <w:u w:val="single"/>
        </w:rPr>
      </w:pPr>
    </w:p>
    <w:p>
      <w:pPr>
        <w:pStyle w:val="11"/>
        <w:wordWrap w:val="0"/>
        <w:topLinePunct/>
        <w:spacing w:after="0" w:line="440" w:lineRule="exact"/>
        <w:rPr>
          <w:rFonts w:ascii="宋体" w:hAnsi="宋体"/>
          <w:bCs/>
          <w:sz w:val="24"/>
          <w:highlight w:val="none"/>
          <w:u w:val="single"/>
        </w:rPr>
      </w:pPr>
      <w:r>
        <w:rPr>
          <w:rFonts w:hint="eastAsia" w:ascii="宋体" w:hAnsi="宋体"/>
          <w:bCs/>
          <w:sz w:val="24"/>
          <w:highlight w:val="none"/>
          <w:u w:val="single"/>
          <w:lang w:eastAsia="zh-CN"/>
        </w:rPr>
        <w:t>四川中岚工程项目管理有限公司</w:t>
      </w:r>
      <w:r>
        <w:rPr>
          <w:rFonts w:hint="eastAsia" w:ascii="宋体" w:hAnsi="宋体"/>
          <w:bCs/>
          <w:sz w:val="24"/>
          <w:highlight w:val="none"/>
        </w:rPr>
        <w:t>：</w:t>
      </w:r>
    </w:p>
    <w:p>
      <w:pPr>
        <w:pStyle w:val="11"/>
        <w:wordWrap w:val="0"/>
        <w:topLinePunct/>
        <w:spacing w:after="0" w:line="440" w:lineRule="exact"/>
        <w:ind w:firstLine="480" w:firstLineChars="200"/>
        <w:rPr>
          <w:rFonts w:ascii="宋体" w:hAnsi="宋体"/>
          <w:bCs/>
          <w:sz w:val="24"/>
          <w:highlight w:val="none"/>
        </w:rPr>
      </w:pPr>
      <w:r>
        <w:rPr>
          <w:rFonts w:hint="eastAsia" w:ascii="宋体" w:hAnsi="宋体"/>
          <w:bCs/>
          <w:sz w:val="24"/>
          <w:highlight w:val="none"/>
        </w:rPr>
        <w:t>我方全面研究了“____________”项目(项目编号：__________)招标文件，决定参加贵单位组织的本项目投标。我方授权_________ (姓名、职务)代表我方_______________(投标人名称)全权处理本项目投标的有关事宜。</w:t>
      </w:r>
    </w:p>
    <w:p>
      <w:pPr>
        <w:pStyle w:val="11"/>
        <w:wordWrap w:val="0"/>
        <w:topLinePunct/>
        <w:spacing w:after="0" w:line="440" w:lineRule="exact"/>
        <w:ind w:firstLine="480" w:firstLineChars="200"/>
        <w:rPr>
          <w:rFonts w:ascii="宋体" w:hAnsi="宋体"/>
          <w:bCs/>
          <w:sz w:val="24"/>
          <w:highlight w:val="none"/>
        </w:rPr>
      </w:pPr>
      <w:r>
        <w:rPr>
          <w:rFonts w:ascii="宋体" w:hAnsi="宋体"/>
          <w:bCs/>
          <w:sz w:val="24"/>
          <w:highlight w:val="none"/>
        </w:rPr>
        <w:t>1</w:t>
      </w:r>
      <w:r>
        <w:rPr>
          <w:rFonts w:hint="eastAsia" w:ascii="宋体" w:hAnsi="宋体"/>
          <w:bCs/>
          <w:sz w:val="24"/>
          <w:highlight w:val="none"/>
        </w:rPr>
        <w:t>．我方自愿按照招标文件规定的各项要求向采购人提供所需货物、服务，总投标价为人民币_______________元(大写：_______________)。</w:t>
      </w:r>
    </w:p>
    <w:p>
      <w:pPr>
        <w:pStyle w:val="11"/>
        <w:wordWrap w:val="0"/>
        <w:topLinePunct/>
        <w:spacing w:after="0" w:line="440" w:lineRule="exact"/>
        <w:ind w:firstLine="480" w:firstLineChars="200"/>
        <w:rPr>
          <w:rFonts w:ascii="宋体" w:hAnsi="宋体"/>
          <w:bCs/>
          <w:sz w:val="24"/>
          <w:highlight w:val="none"/>
        </w:rPr>
      </w:pPr>
      <w:r>
        <w:rPr>
          <w:rFonts w:ascii="宋体" w:hAnsi="宋体"/>
          <w:bCs/>
          <w:sz w:val="24"/>
          <w:highlight w:val="none"/>
        </w:rPr>
        <w:t>2</w:t>
      </w:r>
      <w:r>
        <w:rPr>
          <w:rFonts w:hint="eastAsia" w:ascii="宋体" w:hAnsi="宋体"/>
          <w:bCs/>
          <w:sz w:val="24"/>
          <w:highlight w:val="none"/>
        </w:rPr>
        <w:t>．一旦我方中标，我方将严格履行合同规定的责任和义务，保证向采购人提供符合招标要求和标准的货物、服务，并交付采购人验收。</w:t>
      </w:r>
    </w:p>
    <w:p>
      <w:pPr>
        <w:pStyle w:val="11"/>
        <w:wordWrap w:val="0"/>
        <w:topLinePunct/>
        <w:spacing w:after="0" w:line="440" w:lineRule="exact"/>
        <w:ind w:firstLine="480" w:firstLineChars="200"/>
        <w:rPr>
          <w:bCs/>
          <w:kern w:val="24"/>
          <w:sz w:val="24"/>
          <w:highlight w:val="none"/>
        </w:rPr>
      </w:pPr>
      <w:r>
        <w:rPr>
          <w:rFonts w:hint="eastAsia"/>
          <w:bCs/>
          <w:kern w:val="24"/>
          <w:sz w:val="24"/>
          <w:highlight w:val="none"/>
        </w:rPr>
        <w:t>3．我方为本项目提交的投标文件正本</w:t>
      </w:r>
      <w:r>
        <w:rPr>
          <w:rFonts w:hint="eastAsia" w:ascii="宋体" w:hAnsi="宋体"/>
          <w:bCs/>
          <w:sz w:val="24"/>
          <w:highlight w:val="none"/>
        </w:rPr>
        <w:t>__________</w:t>
      </w:r>
      <w:r>
        <w:rPr>
          <w:rFonts w:hint="eastAsia"/>
          <w:bCs/>
          <w:kern w:val="24"/>
          <w:sz w:val="24"/>
          <w:highlight w:val="none"/>
        </w:rPr>
        <w:t>份，副本</w:t>
      </w:r>
      <w:r>
        <w:rPr>
          <w:rFonts w:hint="eastAsia" w:ascii="宋体" w:hAnsi="宋体"/>
          <w:bCs/>
          <w:sz w:val="24"/>
          <w:highlight w:val="none"/>
        </w:rPr>
        <w:t>________</w:t>
      </w:r>
      <w:r>
        <w:rPr>
          <w:rFonts w:hint="eastAsia"/>
          <w:bCs/>
          <w:kern w:val="24"/>
          <w:sz w:val="24"/>
          <w:highlight w:val="none"/>
        </w:rPr>
        <w:t>份。</w:t>
      </w:r>
    </w:p>
    <w:p>
      <w:pPr>
        <w:pStyle w:val="11"/>
        <w:wordWrap w:val="0"/>
        <w:topLinePunct/>
        <w:spacing w:after="0" w:line="440" w:lineRule="exact"/>
        <w:ind w:firstLine="480" w:firstLineChars="200"/>
        <w:rPr>
          <w:rFonts w:ascii="宋体" w:hAnsi="宋体"/>
          <w:bCs/>
          <w:sz w:val="24"/>
          <w:highlight w:val="none"/>
        </w:rPr>
      </w:pPr>
      <w:r>
        <w:rPr>
          <w:rFonts w:hint="eastAsia" w:ascii="宋体" w:hAnsi="宋体"/>
          <w:bCs/>
          <w:sz w:val="24"/>
          <w:highlight w:val="none"/>
        </w:rPr>
        <w:t>4．我方愿意提供贵单位可能另外要求的，与投标有关的文件资料，并保证我方已提供和将要提供的文件资料是真实、准确的。</w:t>
      </w:r>
    </w:p>
    <w:p>
      <w:pPr>
        <w:pStyle w:val="11"/>
        <w:wordWrap w:val="0"/>
        <w:topLinePunct/>
        <w:spacing w:after="0" w:line="440" w:lineRule="exact"/>
        <w:ind w:firstLine="480" w:firstLineChars="200"/>
        <w:rPr>
          <w:rFonts w:ascii="宋体" w:hAnsi="宋体"/>
          <w:bCs/>
          <w:sz w:val="24"/>
          <w:highlight w:val="none"/>
        </w:rPr>
      </w:pPr>
      <w:r>
        <w:rPr>
          <w:rFonts w:hint="eastAsia" w:ascii="宋体" w:hAnsi="宋体"/>
          <w:bCs/>
          <w:sz w:val="24"/>
          <w:highlight w:val="none"/>
        </w:rPr>
        <w:t>5．我方同意所递交的投标文件在投标截止日起计算</w:t>
      </w:r>
      <w:r>
        <w:rPr>
          <w:rFonts w:ascii="宋体" w:hAnsi="宋体"/>
          <w:bCs/>
          <w:sz w:val="24"/>
          <w:highlight w:val="none"/>
        </w:rPr>
        <w:t>90</w:t>
      </w:r>
      <w:r>
        <w:rPr>
          <w:rFonts w:hint="eastAsia" w:ascii="宋体" w:hAnsi="宋体"/>
          <w:bCs/>
          <w:sz w:val="24"/>
          <w:highlight w:val="none"/>
        </w:rPr>
        <w:t>天的投标有效期内有效，在此期间，我方将受此约束。</w:t>
      </w:r>
    </w:p>
    <w:p>
      <w:pPr>
        <w:pStyle w:val="11"/>
        <w:wordWrap w:val="0"/>
        <w:topLinePunct/>
        <w:spacing w:after="0" w:line="440" w:lineRule="exact"/>
        <w:ind w:firstLine="480" w:firstLineChars="200"/>
        <w:rPr>
          <w:rFonts w:ascii="宋体" w:hAnsi="宋体"/>
          <w:bCs/>
          <w:sz w:val="24"/>
          <w:highlight w:val="none"/>
        </w:rPr>
      </w:pPr>
      <w:r>
        <w:rPr>
          <w:rFonts w:hint="eastAsia" w:ascii="宋体" w:hAnsi="宋体"/>
          <w:bCs/>
          <w:sz w:val="24"/>
          <w:highlight w:val="none"/>
        </w:rPr>
        <w:t>6．我方如中标，承诺将按照招标文件规定的付款方式、履约时间、地点、履约保证金额等内容以及商务条款严格履约，如不按招标文件要求履约，自愿承担全部责任。</w:t>
      </w:r>
    </w:p>
    <w:p>
      <w:pPr>
        <w:pStyle w:val="11"/>
        <w:wordWrap w:val="0"/>
        <w:topLinePunct/>
        <w:spacing w:after="0" w:line="440" w:lineRule="exact"/>
        <w:ind w:firstLine="480" w:firstLineChars="200"/>
        <w:rPr>
          <w:rFonts w:ascii="宋体" w:hAnsi="宋体"/>
          <w:bCs/>
          <w:sz w:val="24"/>
          <w:highlight w:val="none"/>
        </w:rPr>
      </w:pPr>
      <w:r>
        <w:rPr>
          <w:rFonts w:hint="eastAsia" w:ascii="宋体" w:hAnsi="宋体"/>
          <w:bCs/>
          <w:sz w:val="24"/>
          <w:highlight w:val="none"/>
        </w:rPr>
        <w:t>7．我方承诺投标商品涉及商品包装和快递包装的，提供的商品包装</w:t>
      </w:r>
      <w:r>
        <w:rPr>
          <w:rFonts w:hint="eastAsia" w:ascii="宋体" w:hAnsi="宋体"/>
          <w:b/>
          <w:bCs/>
          <w:color w:val="auto"/>
          <w:sz w:val="24"/>
          <w:highlight w:val="none"/>
          <w:u w:val="single"/>
        </w:rPr>
        <w:t>符合</w:t>
      </w:r>
      <w:r>
        <w:rPr>
          <w:rFonts w:hint="eastAsia" w:ascii="宋体" w:hAnsi="宋体"/>
          <w:b/>
          <w:bCs/>
          <w:color w:val="auto"/>
          <w:sz w:val="24"/>
          <w:highlight w:val="none"/>
          <w:u w:val="single"/>
          <w:lang w:val="en-US" w:eastAsia="zh-CN"/>
        </w:rPr>
        <w:t>/不符合</w:t>
      </w:r>
      <w:r>
        <w:rPr>
          <w:rFonts w:hint="eastAsia" w:ascii="宋体" w:hAnsi="宋体"/>
          <w:b/>
          <w:bCs/>
          <w:color w:val="auto"/>
          <w:sz w:val="24"/>
          <w:highlight w:val="none"/>
          <w:u w:val="single"/>
        </w:rPr>
        <w:t xml:space="preserve">  </w:t>
      </w:r>
      <w:r>
        <w:rPr>
          <w:rFonts w:hint="eastAsia" w:ascii="宋体" w:hAnsi="宋体"/>
          <w:bCs/>
          <w:color w:val="auto"/>
          <w:sz w:val="24"/>
          <w:highlight w:val="none"/>
        </w:rPr>
        <w:t>《关于印发&lt;商品包装政府采购需求标准（试行）&gt;、 &lt;快</w:t>
      </w:r>
      <w:r>
        <w:rPr>
          <w:rFonts w:hint="eastAsia" w:ascii="宋体" w:hAnsi="宋体"/>
          <w:bCs/>
          <w:sz w:val="24"/>
          <w:highlight w:val="none"/>
        </w:rPr>
        <w:t>递包装政府采购需求标准（试行）&gt;的通知》(财办库〔2020〕123号)要求。</w:t>
      </w:r>
    </w:p>
    <w:p>
      <w:pPr>
        <w:pStyle w:val="11"/>
        <w:wordWrap w:val="0"/>
        <w:topLinePunct/>
        <w:spacing w:after="0" w:line="440" w:lineRule="exact"/>
        <w:ind w:firstLine="480" w:firstLineChars="200"/>
        <w:rPr>
          <w:rFonts w:ascii="宋体" w:hAnsi="宋体"/>
          <w:bCs/>
          <w:sz w:val="24"/>
          <w:highlight w:val="none"/>
        </w:rPr>
      </w:pPr>
      <w:r>
        <w:rPr>
          <w:rFonts w:hint="eastAsia" w:ascii="宋体" w:hAnsi="宋体"/>
          <w:bCs/>
          <w:sz w:val="24"/>
          <w:highlight w:val="none"/>
        </w:rPr>
        <w:t>8．我方如用虚假材料或恶意方式提出质疑，将承担相应的法律责任。如有上述行为，我方将无条件承担贵单位相关的调查论证费用。</w:t>
      </w:r>
    </w:p>
    <w:p>
      <w:pPr>
        <w:pStyle w:val="11"/>
        <w:wordWrap w:val="0"/>
        <w:topLinePunct/>
        <w:spacing w:after="0" w:line="440" w:lineRule="exact"/>
        <w:ind w:firstLine="480" w:firstLineChars="200"/>
        <w:rPr>
          <w:rFonts w:ascii="宋体" w:hAnsi="宋体"/>
          <w:bCs/>
          <w:sz w:val="24"/>
          <w:highlight w:val="none"/>
        </w:rPr>
      </w:pPr>
      <w:r>
        <w:rPr>
          <w:rFonts w:hint="eastAsia" w:ascii="宋体" w:hAnsi="宋体"/>
          <w:bCs/>
          <w:sz w:val="24"/>
          <w:highlight w:val="none"/>
        </w:rPr>
        <w:t>投标人名称：(盖章)</w:t>
      </w:r>
    </w:p>
    <w:p>
      <w:pPr>
        <w:pStyle w:val="11"/>
        <w:wordWrap w:val="0"/>
        <w:topLinePunct/>
        <w:spacing w:after="0" w:line="440" w:lineRule="exact"/>
        <w:ind w:firstLine="480" w:firstLineChars="200"/>
        <w:rPr>
          <w:rFonts w:ascii="宋体" w:hAnsi="宋体"/>
          <w:sz w:val="24"/>
          <w:highlight w:val="none"/>
        </w:rPr>
      </w:pPr>
      <w:r>
        <w:rPr>
          <w:rFonts w:hint="eastAsia" w:ascii="宋体" w:hAnsi="宋体"/>
          <w:sz w:val="24"/>
          <w:highlight w:val="none"/>
        </w:rPr>
        <w:t>法定代表人（负责人）或被授权人(签字或个人名章)：</w:t>
      </w:r>
    </w:p>
    <w:p>
      <w:pPr>
        <w:pStyle w:val="11"/>
        <w:wordWrap w:val="0"/>
        <w:topLinePunct/>
        <w:spacing w:after="0" w:line="440" w:lineRule="exact"/>
        <w:ind w:firstLine="480" w:firstLineChars="200"/>
        <w:rPr>
          <w:rFonts w:ascii="宋体" w:hAnsi="宋体"/>
          <w:bCs/>
          <w:sz w:val="24"/>
          <w:highlight w:val="none"/>
        </w:rPr>
      </w:pPr>
      <w:r>
        <w:rPr>
          <w:rFonts w:hint="eastAsia" w:ascii="宋体" w:hAnsi="宋体"/>
          <w:bCs/>
          <w:sz w:val="24"/>
          <w:highlight w:val="none"/>
        </w:rPr>
        <w:t>通讯地址：              邮政编码：</w:t>
      </w:r>
    </w:p>
    <w:p>
      <w:pPr>
        <w:pStyle w:val="11"/>
        <w:wordWrap w:val="0"/>
        <w:topLinePunct/>
        <w:spacing w:after="0" w:line="440" w:lineRule="exact"/>
        <w:ind w:firstLine="480" w:firstLineChars="200"/>
        <w:rPr>
          <w:rFonts w:ascii="宋体" w:hAnsi="宋体"/>
          <w:bCs/>
          <w:sz w:val="24"/>
          <w:highlight w:val="none"/>
        </w:rPr>
      </w:pPr>
      <w:r>
        <w:rPr>
          <w:rFonts w:hint="eastAsia" w:ascii="宋体" w:hAnsi="宋体"/>
          <w:bCs/>
          <w:sz w:val="24"/>
          <w:highlight w:val="none"/>
        </w:rPr>
        <w:t>联系电话：              传真：</w:t>
      </w:r>
    </w:p>
    <w:p>
      <w:pPr>
        <w:pStyle w:val="11"/>
        <w:wordWrap w:val="0"/>
        <w:topLinePunct/>
        <w:spacing w:after="0" w:line="440" w:lineRule="exact"/>
        <w:ind w:firstLine="480" w:firstLineChars="200"/>
        <w:rPr>
          <w:rFonts w:ascii="宋体" w:hAnsi="宋体"/>
          <w:bCs/>
          <w:sz w:val="24"/>
          <w:highlight w:val="none"/>
        </w:rPr>
      </w:pPr>
      <w:r>
        <w:rPr>
          <w:rFonts w:hint="eastAsia" w:ascii="宋体" w:hAnsi="宋体"/>
          <w:bCs/>
          <w:sz w:val="24"/>
          <w:highlight w:val="none"/>
        </w:rPr>
        <w:t>日期：</w:t>
      </w:r>
      <w:r>
        <w:rPr>
          <w:rFonts w:ascii="宋体" w:hAnsi="宋体"/>
          <w:bCs/>
          <w:sz w:val="24"/>
          <w:highlight w:val="none"/>
        </w:rPr>
        <w:br w:type="page"/>
      </w:r>
    </w:p>
    <w:p>
      <w:pPr>
        <w:jc w:val="center"/>
        <w:rPr>
          <w:rFonts w:ascii="宋体" w:hAnsi="宋体" w:cs="宋体"/>
          <w:b/>
          <w:color w:val="auto"/>
          <w:sz w:val="32"/>
          <w:highlight w:val="none"/>
        </w:rPr>
      </w:pPr>
      <w:r>
        <w:rPr>
          <w:rFonts w:hint="eastAsia" w:ascii="宋体" w:hAnsi="宋体" w:cs="宋体"/>
          <w:b/>
          <w:color w:val="auto"/>
          <w:sz w:val="32"/>
          <w:highlight w:val="none"/>
        </w:rPr>
        <w:t>三、法定代表人（负责人）证明书</w:t>
      </w:r>
    </w:p>
    <w:p>
      <w:pPr>
        <w:widowControl/>
        <w:wordWrap w:val="0"/>
        <w:topLinePunct/>
        <w:spacing w:line="360" w:lineRule="auto"/>
        <w:ind w:left="420" w:firstLine="539"/>
        <w:jc w:val="left"/>
        <w:rPr>
          <w:rFonts w:ascii="宋体" w:hAnsi="宋体"/>
          <w:sz w:val="24"/>
          <w:highlight w:val="none"/>
        </w:rPr>
      </w:pPr>
    </w:p>
    <w:p>
      <w:pPr>
        <w:widowControl/>
        <w:wordWrap w:val="0"/>
        <w:topLinePunct/>
        <w:spacing w:line="360" w:lineRule="auto"/>
        <w:ind w:left="420" w:firstLine="539"/>
        <w:jc w:val="left"/>
        <w:rPr>
          <w:rFonts w:ascii="宋体" w:hAnsi="宋体"/>
          <w:sz w:val="24"/>
          <w:highlight w:val="none"/>
          <w:u w:val="single"/>
        </w:rPr>
      </w:pPr>
      <w:r>
        <w:rPr>
          <w:rFonts w:hint="eastAsia" w:ascii="宋体" w:hAnsi="宋体"/>
          <w:sz w:val="24"/>
          <w:highlight w:val="none"/>
        </w:rPr>
        <w:t>单位名称：</w:t>
      </w:r>
      <w:r>
        <w:rPr>
          <w:rFonts w:hint="eastAsia" w:ascii="宋体" w:hAnsi="宋体"/>
          <w:bCs/>
          <w:sz w:val="24"/>
          <w:highlight w:val="none"/>
        </w:rPr>
        <w:t>_______________</w:t>
      </w:r>
    </w:p>
    <w:p>
      <w:pPr>
        <w:widowControl/>
        <w:wordWrap w:val="0"/>
        <w:topLinePunct/>
        <w:spacing w:line="360" w:lineRule="auto"/>
        <w:ind w:left="420" w:firstLine="539"/>
        <w:jc w:val="left"/>
        <w:rPr>
          <w:rFonts w:ascii="宋体" w:hAnsi="宋体"/>
          <w:sz w:val="24"/>
          <w:highlight w:val="none"/>
          <w:u w:val="single"/>
        </w:rPr>
      </w:pPr>
      <w:r>
        <w:rPr>
          <w:rFonts w:hint="eastAsia" w:ascii="宋体" w:hAnsi="宋体"/>
          <w:sz w:val="24"/>
          <w:highlight w:val="none"/>
        </w:rPr>
        <w:t>地    址：</w:t>
      </w:r>
      <w:r>
        <w:rPr>
          <w:rFonts w:hint="eastAsia" w:ascii="宋体" w:hAnsi="宋体"/>
          <w:bCs/>
          <w:sz w:val="24"/>
          <w:highlight w:val="none"/>
        </w:rPr>
        <w:t>_______________</w:t>
      </w:r>
    </w:p>
    <w:p>
      <w:pPr>
        <w:widowControl/>
        <w:wordWrap w:val="0"/>
        <w:topLinePunct/>
        <w:spacing w:line="360" w:lineRule="auto"/>
        <w:ind w:left="420" w:firstLine="539"/>
        <w:jc w:val="left"/>
        <w:rPr>
          <w:rFonts w:ascii="宋体" w:hAnsi="宋体"/>
          <w:sz w:val="24"/>
          <w:highlight w:val="none"/>
          <w:u w:val="single"/>
        </w:rPr>
      </w:pPr>
      <w:r>
        <w:rPr>
          <w:rFonts w:hint="eastAsia" w:ascii="宋体" w:hAnsi="宋体"/>
          <w:sz w:val="24"/>
          <w:highlight w:val="none"/>
        </w:rPr>
        <w:t>姓    名：</w:t>
      </w:r>
      <w:r>
        <w:rPr>
          <w:rFonts w:hint="eastAsia" w:ascii="宋体" w:hAnsi="宋体"/>
          <w:bCs/>
          <w:sz w:val="24"/>
          <w:highlight w:val="none"/>
        </w:rPr>
        <w:t>_______</w:t>
      </w:r>
      <w:r>
        <w:rPr>
          <w:rFonts w:hint="eastAsia" w:ascii="宋体" w:hAnsi="宋体"/>
          <w:sz w:val="24"/>
          <w:highlight w:val="none"/>
        </w:rPr>
        <w:t>性别：</w:t>
      </w:r>
      <w:r>
        <w:rPr>
          <w:rFonts w:hint="eastAsia" w:ascii="宋体" w:hAnsi="宋体"/>
          <w:bCs/>
          <w:sz w:val="24"/>
          <w:highlight w:val="none"/>
        </w:rPr>
        <w:t>_______</w:t>
      </w:r>
      <w:r>
        <w:rPr>
          <w:rFonts w:hint="eastAsia" w:ascii="宋体" w:hAnsi="宋体"/>
          <w:sz w:val="24"/>
          <w:highlight w:val="none"/>
        </w:rPr>
        <w:t>年龄：</w:t>
      </w:r>
      <w:r>
        <w:rPr>
          <w:rFonts w:hint="eastAsia" w:ascii="宋体" w:hAnsi="宋体"/>
          <w:bCs/>
          <w:sz w:val="24"/>
          <w:highlight w:val="none"/>
        </w:rPr>
        <w:t>_______</w:t>
      </w:r>
      <w:r>
        <w:rPr>
          <w:rFonts w:hint="eastAsia" w:ascii="宋体" w:hAnsi="宋体"/>
          <w:sz w:val="24"/>
          <w:highlight w:val="none"/>
        </w:rPr>
        <w:t>职务：</w:t>
      </w:r>
      <w:r>
        <w:rPr>
          <w:rFonts w:hint="eastAsia" w:ascii="宋体" w:hAnsi="宋体"/>
          <w:bCs/>
          <w:sz w:val="24"/>
          <w:highlight w:val="none"/>
        </w:rPr>
        <w:t>_______</w:t>
      </w:r>
    </w:p>
    <w:p>
      <w:pPr>
        <w:widowControl/>
        <w:wordWrap w:val="0"/>
        <w:topLinePunct/>
        <w:spacing w:line="360" w:lineRule="auto"/>
        <w:ind w:left="420" w:firstLine="539"/>
        <w:jc w:val="left"/>
        <w:rPr>
          <w:rFonts w:ascii="宋体" w:hAnsi="宋体"/>
          <w:sz w:val="24"/>
          <w:highlight w:val="none"/>
        </w:rPr>
      </w:pPr>
      <w:r>
        <w:rPr>
          <w:rFonts w:hint="eastAsia" w:ascii="宋体" w:hAnsi="宋体"/>
          <w:sz w:val="24"/>
          <w:highlight w:val="none"/>
        </w:rPr>
        <w:t>系</w:t>
      </w:r>
      <w:r>
        <w:rPr>
          <w:rFonts w:hint="eastAsia" w:ascii="宋体" w:hAnsi="宋体"/>
          <w:bCs/>
          <w:sz w:val="24"/>
          <w:highlight w:val="none"/>
        </w:rPr>
        <w:t>_______________</w:t>
      </w:r>
      <w:r>
        <w:rPr>
          <w:rFonts w:hint="eastAsia" w:ascii="宋体" w:hAnsi="宋体"/>
          <w:sz w:val="24"/>
          <w:highlight w:val="none"/>
        </w:rPr>
        <w:t xml:space="preserve"> (供应商名称)的法定代表人（负责人）。</w:t>
      </w:r>
    </w:p>
    <w:p>
      <w:pPr>
        <w:widowControl/>
        <w:wordWrap w:val="0"/>
        <w:topLinePunct/>
        <w:spacing w:line="360" w:lineRule="auto"/>
        <w:ind w:left="420" w:firstLine="539"/>
        <w:jc w:val="left"/>
        <w:rPr>
          <w:rFonts w:ascii="宋体" w:hAnsi="宋体"/>
          <w:sz w:val="24"/>
          <w:highlight w:val="none"/>
        </w:rPr>
      </w:pPr>
      <w:r>
        <w:rPr>
          <w:rFonts w:hint="eastAsia" w:ascii="宋体" w:hAnsi="宋体"/>
          <w:sz w:val="24"/>
          <w:highlight w:val="none"/>
        </w:rPr>
        <w:t>特此证明。</w:t>
      </w:r>
    </w:p>
    <w:p>
      <w:pPr>
        <w:wordWrap w:val="0"/>
        <w:topLinePunct/>
        <w:spacing w:line="400" w:lineRule="exact"/>
        <w:ind w:firstLine="954" w:firstLineChars="396"/>
        <w:rPr>
          <w:rFonts w:ascii="宋体" w:hAnsi="宋体"/>
          <w:b/>
          <w:sz w:val="24"/>
          <w:szCs w:val="24"/>
          <w:highlight w:val="none"/>
        </w:rPr>
      </w:pPr>
      <w:r>
        <w:rPr>
          <w:rFonts w:hint="eastAsia" w:ascii="宋体" w:hAnsi="宋体"/>
          <w:b/>
          <w:sz w:val="24"/>
          <w:szCs w:val="24"/>
          <w:highlight w:val="none"/>
        </w:rPr>
        <w:t>附：法定代表人身份证复印件正反面</w:t>
      </w:r>
    </w:p>
    <w:p>
      <w:pPr>
        <w:widowControl/>
        <w:wordWrap w:val="0"/>
        <w:topLinePunct/>
        <w:spacing w:line="600" w:lineRule="atLeast"/>
        <w:ind w:left="-617" w:firstLine="617"/>
        <w:jc w:val="center"/>
        <w:rPr>
          <w:rFonts w:ascii="宋体" w:hAnsi="宋体"/>
          <w:b/>
          <w:bCs/>
          <w:sz w:val="24"/>
          <w:highlight w:val="none"/>
        </w:rPr>
      </w:pPr>
    </w:p>
    <w:p>
      <w:pPr>
        <w:widowControl/>
        <w:wordWrap w:val="0"/>
        <w:topLinePunct/>
        <w:spacing w:line="360" w:lineRule="auto"/>
        <w:ind w:left="-617" w:firstLine="617"/>
        <w:jc w:val="center"/>
        <w:rPr>
          <w:rFonts w:ascii="宋体" w:hAnsi="宋体"/>
          <w:b/>
          <w:bCs/>
          <w:sz w:val="24"/>
          <w:highlight w:val="none"/>
        </w:rPr>
      </w:pPr>
    </w:p>
    <w:p>
      <w:pPr>
        <w:wordWrap w:val="0"/>
        <w:topLinePunct/>
        <w:spacing w:line="360" w:lineRule="auto"/>
        <w:ind w:firstLine="840" w:firstLineChars="350"/>
        <w:rPr>
          <w:rFonts w:ascii="宋体" w:hAnsi="宋体"/>
          <w:sz w:val="24"/>
          <w:highlight w:val="none"/>
        </w:rPr>
      </w:pPr>
      <w:r>
        <w:rPr>
          <w:rFonts w:hint="eastAsia" w:ascii="宋体" w:hAnsi="宋体"/>
          <w:sz w:val="24"/>
          <w:highlight w:val="none"/>
        </w:rPr>
        <w:t>投标人名称：(印章)：</w:t>
      </w:r>
    </w:p>
    <w:p>
      <w:pPr>
        <w:wordWrap w:val="0"/>
        <w:topLinePunct/>
        <w:spacing w:line="360" w:lineRule="auto"/>
        <w:ind w:firstLine="840" w:firstLineChars="350"/>
        <w:rPr>
          <w:rFonts w:ascii="宋体" w:hAnsi="宋体"/>
          <w:sz w:val="24"/>
          <w:highlight w:val="none"/>
        </w:rPr>
      </w:pPr>
    </w:p>
    <w:p>
      <w:pPr>
        <w:wordWrap w:val="0"/>
        <w:topLinePunct/>
        <w:spacing w:line="360" w:lineRule="auto"/>
        <w:ind w:firstLine="840" w:firstLineChars="350"/>
        <w:rPr>
          <w:rFonts w:ascii="宋体" w:hAnsi="宋体"/>
          <w:sz w:val="24"/>
          <w:highlight w:val="none"/>
        </w:rPr>
      </w:pPr>
      <w:r>
        <w:rPr>
          <w:rFonts w:hint="eastAsia" w:ascii="宋体" w:hAnsi="宋体"/>
          <w:sz w:val="24"/>
          <w:highlight w:val="none"/>
        </w:rPr>
        <w:t>日期：</w:t>
      </w:r>
    </w:p>
    <w:p>
      <w:pPr>
        <w:widowControl/>
        <w:wordWrap w:val="0"/>
        <w:topLinePunct/>
        <w:spacing w:line="360" w:lineRule="auto"/>
        <w:ind w:firstLine="826" w:firstLineChars="343"/>
        <w:rPr>
          <w:rFonts w:ascii="宋体" w:hAnsi="宋体"/>
          <w:b/>
          <w:bCs/>
          <w:sz w:val="24"/>
          <w:highlight w:val="none"/>
        </w:rPr>
      </w:pPr>
    </w:p>
    <w:p>
      <w:pPr>
        <w:widowControl/>
        <w:wordWrap w:val="0"/>
        <w:topLinePunct/>
        <w:spacing w:line="600" w:lineRule="atLeast"/>
        <w:ind w:firstLine="826" w:firstLineChars="343"/>
        <w:rPr>
          <w:rFonts w:ascii="宋体" w:hAnsi="宋体"/>
          <w:b/>
          <w:bCs/>
          <w:sz w:val="24"/>
          <w:highlight w:val="none"/>
        </w:rPr>
      </w:pPr>
    </w:p>
    <w:p>
      <w:pPr>
        <w:widowControl/>
        <w:wordWrap w:val="0"/>
        <w:topLinePunct/>
        <w:spacing w:line="600" w:lineRule="atLeast"/>
        <w:ind w:firstLine="826" w:firstLineChars="343"/>
        <w:rPr>
          <w:rFonts w:ascii="宋体" w:hAnsi="宋体"/>
          <w:b/>
          <w:bCs/>
          <w:sz w:val="24"/>
          <w:highlight w:val="none"/>
        </w:rPr>
      </w:pPr>
    </w:p>
    <w:p>
      <w:pPr>
        <w:widowControl/>
        <w:wordWrap w:val="0"/>
        <w:topLinePunct/>
        <w:spacing w:line="600" w:lineRule="atLeast"/>
        <w:ind w:firstLine="826" w:firstLineChars="343"/>
        <w:rPr>
          <w:rFonts w:ascii="宋体" w:hAnsi="宋体"/>
          <w:b/>
          <w:bCs/>
          <w:sz w:val="24"/>
          <w:highlight w:val="none"/>
        </w:rPr>
      </w:pPr>
    </w:p>
    <w:p>
      <w:pPr>
        <w:widowControl/>
        <w:wordWrap w:val="0"/>
        <w:topLinePunct/>
        <w:spacing w:line="600" w:lineRule="atLeast"/>
        <w:ind w:firstLine="826" w:firstLineChars="343"/>
        <w:rPr>
          <w:rFonts w:ascii="宋体" w:hAnsi="宋体"/>
          <w:b/>
          <w:bCs/>
          <w:sz w:val="24"/>
          <w:highlight w:val="none"/>
        </w:rPr>
      </w:pPr>
    </w:p>
    <w:p>
      <w:pPr>
        <w:wordWrap w:val="0"/>
        <w:topLinePunct/>
        <w:spacing w:line="360" w:lineRule="auto"/>
        <w:ind w:firstLine="600" w:firstLineChars="250"/>
        <w:rPr>
          <w:rFonts w:ascii="宋体" w:hAnsi="宋体"/>
          <w:sz w:val="24"/>
          <w:highlight w:val="none"/>
        </w:rPr>
      </w:pPr>
    </w:p>
    <w:p>
      <w:pPr>
        <w:wordWrap w:val="0"/>
        <w:topLinePunct/>
        <w:spacing w:line="360" w:lineRule="auto"/>
        <w:rPr>
          <w:rFonts w:ascii="宋体" w:hAnsi="宋体"/>
          <w:sz w:val="24"/>
          <w:highlight w:val="none"/>
        </w:rPr>
      </w:pPr>
      <w:r>
        <w:rPr>
          <w:rFonts w:hint="eastAsia" w:ascii="宋体" w:hAnsi="宋体"/>
          <w:sz w:val="24"/>
          <w:highlight w:val="none"/>
        </w:rPr>
        <w:t>注：1、</w:t>
      </w:r>
      <w:r>
        <w:rPr>
          <w:rFonts w:hint="eastAsia" w:hAnsi="宋体" w:cs="宋体"/>
          <w:b/>
          <w:szCs w:val="21"/>
          <w:highlight w:val="none"/>
        </w:rPr>
        <w:t>法定代表人（负责人）参加投标的适用本证明书；</w:t>
      </w:r>
    </w:p>
    <w:p>
      <w:pPr>
        <w:wordWrap w:val="0"/>
        <w:topLinePunct/>
        <w:spacing w:line="360" w:lineRule="auto"/>
        <w:ind w:firstLine="480" w:firstLineChars="200"/>
        <w:rPr>
          <w:rFonts w:ascii="宋体" w:hAnsi="宋体"/>
          <w:sz w:val="24"/>
          <w:highlight w:val="none"/>
        </w:rPr>
      </w:pPr>
      <w:r>
        <w:rPr>
          <w:rFonts w:hint="eastAsia" w:ascii="宋体" w:hAnsi="宋体"/>
          <w:sz w:val="24"/>
          <w:highlight w:val="none"/>
        </w:rPr>
        <w:t>2、投标人是法人单位填写法定代表人信息；</w:t>
      </w:r>
    </w:p>
    <w:p>
      <w:pPr>
        <w:wordWrap w:val="0"/>
        <w:topLinePunct/>
        <w:spacing w:line="360" w:lineRule="auto"/>
        <w:ind w:firstLine="480" w:firstLineChars="200"/>
        <w:rPr>
          <w:rFonts w:ascii="宋体" w:hAnsi="宋体"/>
          <w:sz w:val="24"/>
          <w:highlight w:val="none"/>
        </w:rPr>
      </w:pPr>
      <w:r>
        <w:rPr>
          <w:rFonts w:hint="eastAsia" w:ascii="宋体" w:hAnsi="宋体"/>
          <w:sz w:val="24"/>
          <w:highlight w:val="none"/>
        </w:rPr>
        <w:t>3、投标人是其他组织的，填写负责人、经营者信息，须与营业执照或组织机构代码证等有效证件上一致；</w:t>
      </w:r>
    </w:p>
    <w:p>
      <w:pPr>
        <w:wordWrap w:val="0"/>
        <w:topLinePunct/>
        <w:spacing w:line="360" w:lineRule="auto"/>
        <w:ind w:firstLine="480" w:firstLineChars="200"/>
        <w:rPr>
          <w:rFonts w:ascii="宋体" w:hAnsi="宋体"/>
          <w:sz w:val="24"/>
          <w:highlight w:val="none"/>
        </w:rPr>
      </w:pPr>
      <w:r>
        <w:rPr>
          <w:rFonts w:hint="eastAsia" w:ascii="宋体" w:hAnsi="宋体"/>
          <w:sz w:val="24"/>
          <w:highlight w:val="none"/>
        </w:rPr>
        <w:t>4、投标人是自然人不填写，只提供身份证复印件。</w:t>
      </w:r>
    </w:p>
    <w:p>
      <w:pPr>
        <w:jc w:val="center"/>
        <w:rPr>
          <w:rFonts w:ascii="宋体" w:hAnsi="宋体"/>
          <w:b/>
          <w:bCs/>
          <w:color w:val="00B050"/>
          <w:sz w:val="24"/>
          <w:highlight w:val="none"/>
        </w:rPr>
      </w:pPr>
      <w:r>
        <w:rPr>
          <w:rFonts w:ascii="宋体" w:hAnsi="宋体"/>
          <w:sz w:val="24"/>
          <w:highlight w:val="none"/>
        </w:rPr>
        <w:br w:type="page"/>
      </w:r>
      <w:bookmarkStart w:id="41" w:name="_Toc461026081"/>
      <w:bookmarkStart w:id="42" w:name="_Toc444157682"/>
      <w:r>
        <w:rPr>
          <w:rFonts w:hint="eastAsia" w:ascii="宋体" w:hAnsi="宋体" w:cs="宋体"/>
          <w:b/>
          <w:color w:val="auto"/>
          <w:sz w:val="32"/>
          <w:highlight w:val="none"/>
        </w:rPr>
        <w:t>三、法定代表人（负责人）授权书</w:t>
      </w:r>
      <w:bookmarkEnd w:id="41"/>
      <w:bookmarkEnd w:id="42"/>
    </w:p>
    <w:p>
      <w:pPr>
        <w:wordWrap w:val="0"/>
        <w:topLinePunct/>
        <w:spacing w:line="440" w:lineRule="exact"/>
        <w:rPr>
          <w:bCs/>
          <w:sz w:val="24"/>
          <w:highlight w:val="none"/>
          <w:u w:val="single"/>
        </w:rPr>
      </w:pPr>
    </w:p>
    <w:p>
      <w:pPr>
        <w:wordWrap w:val="0"/>
        <w:topLinePunct/>
        <w:spacing w:line="440" w:lineRule="exact"/>
        <w:rPr>
          <w:rFonts w:hAnsi="宋体"/>
          <w:sz w:val="24"/>
          <w:highlight w:val="none"/>
        </w:rPr>
      </w:pPr>
      <w:r>
        <w:rPr>
          <w:rFonts w:hint="eastAsia"/>
          <w:bCs/>
          <w:sz w:val="24"/>
          <w:highlight w:val="none"/>
          <w:u w:val="single"/>
          <w:lang w:eastAsia="zh-CN"/>
        </w:rPr>
        <w:t>四川中岚工程项目管理有限公司</w:t>
      </w:r>
      <w:r>
        <w:rPr>
          <w:rFonts w:hint="eastAsia" w:hAnsi="宋体"/>
          <w:sz w:val="24"/>
          <w:highlight w:val="none"/>
        </w:rPr>
        <w:t>：</w:t>
      </w:r>
    </w:p>
    <w:p>
      <w:pPr>
        <w:wordWrap w:val="0"/>
        <w:topLinePunct/>
        <w:spacing w:line="440" w:lineRule="exact"/>
        <w:ind w:firstLine="480" w:firstLineChars="200"/>
        <w:rPr>
          <w:rFonts w:hAnsi="宋体"/>
          <w:sz w:val="24"/>
          <w:highlight w:val="none"/>
        </w:rPr>
      </w:pPr>
      <w:r>
        <w:rPr>
          <w:rFonts w:hint="eastAsia" w:hAnsi="宋体"/>
          <w:sz w:val="24"/>
          <w:highlight w:val="none"/>
        </w:rPr>
        <w:t>本授权声明：</w:t>
      </w:r>
      <w:r>
        <w:rPr>
          <w:rFonts w:hint="eastAsia" w:ascii="宋体" w:hAnsi="宋体"/>
          <w:bCs/>
          <w:sz w:val="24"/>
          <w:highlight w:val="none"/>
        </w:rPr>
        <w:t>_____________</w:t>
      </w:r>
      <w:r>
        <w:rPr>
          <w:rFonts w:hint="eastAsia" w:hAnsi="宋体"/>
          <w:sz w:val="24"/>
          <w:highlight w:val="none"/>
        </w:rPr>
        <w:t xml:space="preserve"> (投标人名称)</w:t>
      </w:r>
      <w:r>
        <w:rPr>
          <w:rFonts w:hint="eastAsia" w:ascii="宋体" w:hAnsi="宋体"/>
          <w:bCs/>
          <w:sz w:val="24"/>
          <w:highlight w:val="none"/>
        </w:rPr>
        <w:t xml:space="preserve"> _____________</w:t>
      </w:r>
      <w:r>
        <w:rPr>
          <w:rFonts w:hint="eastAsia" w:hAnsi="宋体"/>
          <w:sz w:val="24"/>
          <w:highlight w:val="none"/>
        </w:rPr>
        <w:t xml:space="preserve"> (法定代表人</w:t>
      </w:r>
      <w:r>
        <w:rPr>
          <w:rFonts w:hint="eastAsia" w:hAnsi="宋体"/>
          <w:color w:val="FF0000"/>
          <w:sz w:val="24"/>
          <w:highlight w:val="none"/>
          <w:lang w:val="en-US" w:eastAsia="zh-CN"/>
        </w:rPr>
        <w:t>(负责人）</w:t>
      </w:r>
      <w:r>
        <w:rPr>
          <w:rFonts w:hint="eastAsia" w:hAnsi="宋体"/>
          <w:sz w:val="24"/>
          <w:highlight w:val="none"/>
        </w:rPr>
        <w:t>姓名、职务)授权</w:t>
      </w:r>
      <w:r>
        <w:rPr>
          <w:rFonts w:hint="eastAsia" w:ascii="宋体" w:hAnsi="宋体"/>
          <w:bCs/>
          <w:sz w:val="24"/>
          <w:highlight w:val="none"/>
        </w:rPr>
        <w:t>_____________</w:t>
      </w:r>
      <w:r>
        <w:rPr>
          <w:rFonts w:hint="eastAsia" w:hAnsi="宋体"/>
          <w:sz w:val="24"/>
          <w:highlight w:val="none"/>
        </w:rPr>
        <w:t xml:space="preserve"> (被授权人姓名、职务)为我方“</w:t>
      </w:r>
      <w:r>
        <w:rPr>
          <w:rFonts w:hint="eastAsia" w:ascii="宋体" w:hAnsi="宋体"/>
          <w:bCs/>
          <w:sz w:val="24"/>
          <w:highlight w:val="none"/>
        </w:rPr>
        <w:t>_____________</w:t>
      </w:r>
      <w:r>
        <w:rPr>
          <w:rFonts w:hint="eastAsia" w:hAnsi="宋体"/>
          <w:sz w:val="24"/>
          <w:highlight w:val="none"/>
        </w:rPr>
        <w:t>”项目(招标编号：</w:t>
      </w:r>
      <w:r>
        <w:rPr>
          <w:rFonts w:hint="eastAsia" w:ascii="宋体" w:hAnsi="宋体"/>
          <w:bCs/>
          <w:sz w:val="24"/>
          <w:highlight w:val="none"/>
        </w:rPr>
        <w:t>_____________</w:t>
      </w:r>
      <w:r>
        <w:rPr>
          <w:rFonts w:hint="eastAsia" w:hAnsi="宋体"/>
          <w:sz w:val="24"/>
          <w:highlight w:val="none"/>
        </w:rPr>
        <w:t>)投标活动的合法代表，以我方名义全权处理该项目有关投标、签订合同以及执行合同等一切事宜。</w:t>
      </w:r>
    </w:p>
    <w:p>
      <w:pPr>
        <w:wordWrap w:val="0"/>
        <w:topLinePunct/>
        <w:spacing w:line="440" w:lineRule="exact"/>
        <w:ind w:firstLine="480" w:firstLineChars="200"/>
        <w:rPr>
          <w:rFonts w:hAnsi="宋体"/>
          <w:sz w:val="24"/>
          <w:highlight w:val="none"/>
        </w:rPr>
      </w:pPr>
      <w:r>
        <w:rPr>
          <w:rFonts w:hint="eastAsia" w:hAnsi="宋体"/>
          <w:sz w:val="24"/>
          <w:highlight w:val="none"/>
        </w:rPr>
        <w:t>特此声明。</w:t>
      </w:r>
    </w:p>
    <w:p>
      <w:pPr>
        <w:wordWrap w:val="0"/>
        <w:topLinePunct/>
        <w:spacing w:line="440" w:lineRule="exact"/>
        <w:rPr>
          <w:rFonts w:hAnsi="宋体"/>
          <w:sz w:val="24"/>
          <w:highlight w:val="none"/>
        </w:rPr>
      </w:pPr>
    </w:p>
    <w:p>
      <w:pPr>
        <w:wordWrap w:val="0"/>
        <w:topLinePunct/>
        <w:spacing w:line="440" w:lineRule="exact"/>
        <w:ind w:firstLine="482" w:firstLineChars="200"/>
        <w:rPr>
          <w:rFonts w:hAnsi="宋体"/>
          <w:b/>
          <w:sz w:val="24"/>
          <w:highlight w:val="none"/>
        </w:rPr>
      </w:pPr>
      <w:r>
        <w:rPr>
          <w:rFonts w:hint="eastAsia" w:hAnsi="宋体"/>
          <w:b/>
          <w:color w:val="auto"/>
          <w:sz w:val="24"/>
          <w:highlight w:val="none"/>
        </w:rPr>
        <w:t>附：法定代表人（负责人）</w:t>
      </w:r>
      <w:r>
        <w:rPr>
          <w:rFonts w:hint="eastAsia" w:hAnsi="宋体"/>
          <w:b/>
          <w:sz w:val="24"/>
          <w:highlight w:val="none"/>
        </w:rPr>
        <w:t>和被授权人身份证复印件正反面</w:t>
      </w:r>
    </w:p>
    <w:p>
      <w:pPr>
        <w:wordWrap w:val="0"/>
        <w:topLinePunct/>
        <w:spacing w:line="440" w:lineRule="exact"/>
        <w:ind w:firstLine="566" w:firstLineChars="236"/>
        <w:rPr>
          <w:rFonts w:hAnsi="宋体"/>
          <w:sz w:val="24"/>
          <w:highlight w:val="none"/>
        </w:rPr>
      </w:pPr>
    </w:p>
    <w:p>
      <w:pPr>
        <w:wordWrap w:val="0"/>
        <w:topLinePunct/>
        <w:spacing w:line="440" w:lineRule="exact"/>
        <w:ind w:firstLine="566" w:firstLineChars="236"/>
        <w:rPr>
          <w:rFonts w:hAnsi="宋体"/>
          <w:sz w:val="24"/>
          <w:highlight w:val="none"/>
        </w:rPr>
      </w:pPr>
    </w:p>
    <w:p>
      <w:pPr>
        <w:wordWrap w:val="0"/>
        <w:topLinePunct/>
        <w:spacing w:line="440" w:lineRule="exact"/>
        <w:ind w:firstLine="480" w:firstLineChars="200"/>
        <w:rPr>
          <w:rFonts w:hAnsi="宋体"/>
          <w:sz w:val="24"/>
          <w:highlight w:val="none"/>
        </w:rPr>
      </w:pPr>
      <w:r>
        <w:rPr>
          <w:rFonts w:hint="eastAsia" w:hAnsi="宋体"/>
          <w:sz w:val="24"/>
          <w:highlight w:val="none"/>
        </w:rPr>
        <w:t>投标人名称 (盖章)：</w:t>
      </w:r>
    </w:p>
    <w:p>
      <w:pPr>
        <w:wordWrap w:val="0"/>
        <w:topLinePunct/>
        <w:spacing w:line="440" w:lineRule="exact"/>
        <w:ind w:firstLine="480" w:firstLineChars="200"/>
        <w:rPr>
          <w:rFonts w:hAnsi="宋体"/>
          <w:sz w:val="24"/>
          <w:highlight w:val="none"/>
        </w:rPr>
      </w:pPr>
      <w:r>
        <w:rPr>
          <w:rFonts w:hint="eastAsia" w:hAnsi="宋体"/>
          <w:sz w:val="24"/>
          <w:highlight w:val="none"/>
        </w:rPr>
        <w:t>法定代表人或负责人(签字或</w:t>
      </w:r>
      <w:r>
        <w:rPr>
          <w:rFonts w:hint="eastAsia"/>
          <w:sz w:val="24"/>
          <w:highlight w:val="none"/>
        </w:rPr>
        <w:t>个人名章</w:t>
      </w:r>
      <w:r>
        <w:rPr>
          <w:rFonts w:hint="eastAsia" w:hAnsi="宋体"/>
          <w:sz w:val="24"/>
          <w:highlight w:val="none"/>
        </w:rPr>
        <w:t>)：</w:t>
      </w:r>
    </w:p>
    <w:p>
      <w:pPr>
        <w:wordWrap w:val="0"/>
        <w:topLinePunct/>
        <w:spacing w:line="440" w:lineRule="exact"/>
        <w:ind w:firstLine="480" w:firstLineChars="200"/>
        <w:rPr>
          <w:rFonts w:hAnsi="宋体"/>
          <w:sz w:val="24"/>
          <w:highlight w:val="none"/>
        </w:rPr>
      </w:pPr>
      <w:r>
        <w:rPr>
          <w:rFonts w:hint="eastAsia"/>
          <w:sz w:val="24"/>
          <w:highlight w:val="none"/>
        </w:rPr>
        <w:t>被授权人(签字或个人名章)</w:t>
      </w:r>
      <w:r>
        <w:rPr>
          <w:rFonts w:hint="eastAsia"/>
          <w:bCs/>
          <w:sz w:val="24"/>
          <w:highlight w:val="none"/>
        </w:rPr>
        <w:t>：</w:t>
      </w:r>
    </w:p>
    <w:p>
      <w:pPr>
        <w:wordWrap w:val="0"/>
        <w:topLinePunct/>
        <w:spacing w:line="440" w:lineRule="exact"/>
        <w:ind w:firstLine="480" w:firstLineChars="200"/>
        <w:rPr>
          <w:rFonts w:hAnsi="宋体"/>
          <w:sz w:val="24"/>
          <w:highlight w:val="none"/>
        </w:rPr>
      </w:pPr>
      <w:r>
        <w:rPr>
          <w:rFonts w:hint="eastAsia" w:hAnsi="宋体"/>
          <w:sz w:val="24"/>
          <w:highlight w:val="none"/>
        </w:rPr>
        <w:t>日期：</w:t>
      </w:r>
    </w:p>
    <w:p>
      <w:pPr>
        <w:pStyle w:val="11"/>
        <w:wordWrap w:val="0"/>
        <w:topLinePunct/>
        <w:spacing w:after="0" w:line="440" w:lineRule="exact"/>
        <w:ind w:leftChars="0" w:firstLine="567"/>
        <w:rPr>
          <w:bCs/>
          <w:sz w:val="24"/>
          <w:highlight w:val="none"/>
        </w:rPr>
      </w:pPr>
    </w:p>
    <w:p>
      <w:pPr>
        <w:pStyle w:val="11"/>
        <w:wordWrap w:val="0"/>
        <w:topLinePunct/>
        <w:spacing w:after="0" w:line="440" w:lineRule="exact"/>
        <w:ind w:leftChars="0" w:firstLine="567"/>
        <w:rPr>
          <w:bCs/>
          <w:sz w:val="24"/>
          <w:highlight w:val="none"/>
        </w:rPr>
      </w:pPr>
    </w:p>
    <w:p>
      <w:pPr>
        <w:pStyle w:val="11"/>
        <w:wordWrap w:val="0"/>
        <w:topLinePunct/>
        <w:spacing w:after="0" w:line="440" w:lineRule="exact"/>
        <w:ind w:leftChars="0" w:firstLine="567"/>
        <w:rPr>
          <w:bCs/>
          <w:sz w:val="24"/>
          <w:highlight w:val="none"/>
        </w:rPr>
      </w:pPr>
    </w:p>
    <w:p>
      <w:pPr>
        <w:pStyle w:val="11"/>
        <w:wordWrap w:val="0"/>
        <w:topLinePunct/>
        <w:spacing w:after="0" w:line="440" w:lineRule="exact"/>
        <w:ind w:leftChars="0" w:firstLine="567"/>
        <w:rPr>
          <w:bCs/>
          <w:sz w:val="24"/>
          <w:highlight w:val="none"/>
        </w:rPr>
      </w:pPr>
    </w:p>
    <w:p>
      <w:pPr>
        <w:pStyle w:val="11"/>
        <w:wordWrap w:val="0"/>
        <w:topLinePunct/>
        <w:spacing w:after="0" w:line="440" w:lineRule="exact"/>
        <w:ind w:leftChars="0" w:firstLine="567"/>
        <w:rPr>
          <w:bCs/>
          <w:sz w:val="24"/>
          <w:highlight w:val="none"/>
        </w:rPr>
      </w:pPr>
    </w:p>
    <w:p>
      <w:pPr>
        <w:pStyle w:val="11"/>
        <w:wordWrap w:val="0"/>
        <w:topLinePunct/>
        <w:spacing w:after="0" w:line="440" w:lineRule="exact"/>
        <w:ind w:leftChars="0" w:firstLine="567"/>
        <w:rPr>
          <w:bCs/>
          <w:sz w:val="24"/>
          <w:highlight w:val="none"/>
        </w:rPr>
      </w:pPr>
    </w:p>
    <w:p>
      <w:pPr>
        <w:widowControl/>
        <w:jc w:val="left"/>
        <w:rPr>
          <w:rFonts w:hAnsi="宋体" w:cs="宋体"/>
          <w:b/>
          <w:szCs w:val="21"/>
          <w:highlight w:val="none"/>
        </w:rPr>
      </w:pPr>
      <w:r>
        <w:rPr>
          <w:rFonts w:hint="eastAsia" w:hAnsi="宋体" w:cs="宋体"/>
          <w:b/>
          <w:szCs w:val="21"/>
          <w:highlight w:val="none"/>
        </w:rPr>
        <w:t>注：授权代理人参加投标的适用本授权。</w:t>
      </w:r>
    </w:p>
    <w:p>
      <w:pPr>
        <w:widowControl/>
        <w:jc w:val="left"/>
        <w:rPr>
          <w:rFonts w:ascii="宋体" w:hAnsi="宋体"/>
          <w:sz w:val="24"/>
          <w:highlight w:val="none"/>
        </w:rPr>
      </w:pPr>
    </w:p>
    <w:p>
      <w:pPr>
        <w:pStyle w:val="44"/>
        <w:rPr>
          <w:rFonts w:asciiTheme="minorEastAsia" w:hAnsiTheme="minorEastAsia" w:eastAsiaTheme="minorEastAsia"/>
          <w:b/>
          <w:bCs/>
          <w:sz w:val="24"/>
          <w:szCs w:val="24"/>
          <w:highlight w:val="none"/>
        </w:rPr>
      </w:pPr>
      <w:r>
        <w:rPr>
          <w:rFonts w:ascii="宋体" w:hAnsi="宋体"/>
          <w:sz w:val="24"/>
          <w:highlight w:val="none"/>
        </w:rPr>
        <w:br w:type="page"/>
      </w:r>
    </w:p>
    <w:p>
      <w:pPr>
        <w:jc w:val="center"/>
        <w:rPr>
          <w:rFonts w:ascii="宋体" w:hAnsi="宋体" w:cs="宋体"/>
          <w:b/>
          <w:sz w:val="32"/>
          <w:highlight w:val="none"/>
        </w:rPr>
      </w:pPr>
      <w:r>
        <w:rPr>
          <w:rFonts w:hint="eastAsia" w:ascii="宋体" w:hAnsi="宋体" w:cs="宋体"/>
          <w:b/>
          <w:sz w:val="32"/>
          <w:highlight w:val="none"/>
        </w:rPr>
        <w:t>四、开标一览表</w:t>
      </w:r>
    </w:p>
    <w:p>
      <w:pPr>
        <w:rPr>
          <w:b/>
          <w:color w:val="FF0000"/>
          <w:highlight w:val="none"/>
        </w:rPr>
      </w:pPr>
    </w:p>
    <w:tbl>
      <w:tblPr>
        <w:tblStyle w:val="19"/>
        <w:tblW w:w="8522" w:type="dxa"/>
        <w:tblInd w:w="0" w:type="dxa"/>
        <w:tblLayout w:type="fixed"/>
        <w:tblCellMar>
          <w:top w:w="0" w:type="dxa"/>
          <w:left w:w="108" w:type="dxa"/>
          <w:bottom w:w="0" w:type="dxa"/>
          <w:right w:w="108" w:type="dxa"/>
        </w:tblCellMar>
      </w:tblPr>
      <w:tblGrid>
        <w:gridCol w:w="756"/>
        <w:gridCol w:w="1251"/>
        <w:gridCol w:w="665"/>
        <w:gridCol w:w="617"/>
        <w:gridCol w:w="1882"/>
        <w:gridCol w:w="3351"/>
      </w:tblGrid>
      <w:tr>
        <w:tblPrEx>
          <w:tblCellMar>
            <w:top w:w="0" w:type="dxa"/>
            <w:left w:w="108" w:type="dxa"/>
            <w:bottom w:w="0" w:type="dxa"/>
            <w:right w:w="108" w:type="dxa"/>
          </w:tblCellMar>
        </w:tblPrEx>
        <w:trPr>
          <w:trHeight w:val="506" w:hRule="atLeast"/>
        </w:trPr>
        <w:tc>
          <w:tcPr>
            <w:tcW w:w="2672" w:type="dxa"/>
            <w:gridSpan w:val="3"/>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kern w:val="0"/>
                <w:sz w:val="24"/>
                <w:highlight w:val="none"/>
              </w:rPr>
            </w:pPr>
            <w:r>
              <w:rPr>
                <w:rFonts w:hint="eastAsia" w:ascii="宋体" w:hAnsi="宋体" w:cs="宋体"/>
                <w:kern w:val="0"/>
                <w:sz w:val="24"/>
                <w:highlight w:val="none"/>
              </w:rPr>
              <w:t>项目名称</w:t>
            </w:r>
          </w:p>
        </w:tc>
        <w:tc>
          <w:tcPr>
            <w:tcW w:w="5850" w:type="dxa"/>
            <w:gridSpan w:val="3"/>
            <w:tcBorders>
              <w:top w:val="single" w:color="auto" w:sz="4" w:space="0"/>
              <w:left w:val="nil"/>
              <w:bottom w:val="single" w:color="auto" w:sz="4" w:space="0"/>
              <w:right w:val="single" w:color="auto" w:sz="4" w:space="0"/>
            </w:tcBorders>
            <w:vAlign w:val="center"/>
          </w:tcPr>
          <w:p>
            <w:pPr>
              <w:widowControl/>
              <w:spacing w:line="360" w:lineRule="auto"/>
              <w:rPr>
                <w:rFonts w:ascii="宋体" w:hAnsi="宋体" w:cs="宋体"/>
                <w:kern w:val="0"/>
                <w:sz w:val="24"/>
                <w:highlight w:val="none"/>
              </w:rPr>
            </w:pPr>
          </w:p>
        </w:tc>
      </w:tr>
      <w:tr>
        <w:tblPrEx>
          <w:tblCellMar>
            <w:top w:w="0" w:type="dxa"/>
            <w:left w:w="108" w:type="dxa"/>
            <w:bottom w:w="0" w:type="dxa"/>
            <w:right w:w="108" w:type="dxa"/>
          </w:tblCellMar>
        </w:tblPrEx>
        <w:trPr>
          <w:trHeight w:val="443" w:hRule="atLeast"/>
        </w:trPr>
        <w:tc>
          <w:tcPr>
            <w:tcW w:w="2672" w:type="dxa"/>
            <w:gridSpan w:val="3"/>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kern w:val="0"/>
                <w:sz w:val="24"/>
                <w:highlight w:val="none"/>
              </w:rPr>
            </w:pPr>
            <w:r>
              <w:rPr>
                <w:rFonts w:hint="eastAsia" w:ascii="宋体" w:hAnsi="宋体" w:cs="宋体"/>
                <w:kern w:val="0"/>
                <w:sz w:val="24"/>
                <w:highlight w:val="none"/>
              </w:rPr>
              <w:t>招标编号</w:t>
            </w:r>
          </w:p>
        </w:tc>
        <w:tc>
          <w:tcPr>
            <w:tcW w:w="5850" w:type="dxa"/>
            <w:gridSpan w:val="3"/>
            <w:tcBorders>
              <w:top w:val="single" w:color="auto" w:sz="4" w:space="0"/>
              <w:left w:val="nil"/>
              <w:bottom w:val="single" w:color="auto" w:sz="4" w:space="0"/>
              <w:right w:val="single" w:color="auto" w:sz="4" w:space="0"/>
            </w:tcBorders>
            <w:vAlign w:val="center"/>
          </w:tcPr>
          <w:p>
            <w:pPr>
              <w:widowControl/>
              <w:spacing w:line="360" w:lineRule="auto"/>
              <w:rPr>
                <w:rFonts w:ascii="宋体" w:hAnsi="宋体"/>
                <w:kern w:val="0"/>
                <w:sz w:val="24"/>
                <w:highlight w:val="none"/>
              </w:rPr>
            </w:pPr>
          </w:p>
        </w:tc>
      </w:tr>
      <w:tr>
        <w:tblPrEx>
          <w:tblCellMar>
            <w:top w:w="0" w:type="dxa"/>
            <w:left w:w="108" w:type="dxa"/>
            <w:bottom w:w="0" w:type="dxa"/>
            <w:right w:w="108" w:type="dxa"/>
          </w:tblCellMar>
        </w:tblPrEx>
        <w:trPr>
          <w:trHeight w:val="443" w:hRule="atLeast"/>
        </w:trPr>
        <w:tc>
          <w:tcPr>
            <w:tcW w:w="2672" w:type="dxa"/>
            <w:gridSpan w:val="3"/>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kern w:val="0"/>
                <w:sz w:val="24"/>
                <w:highlight w:val="none"/>
              </w:rPr>
            </w:pPr>
            <w:r>
              <w:rPr>
                <w:rFonts w:hint="eastAsia" w:ascii="宋体" w:hAnsi="宋体" w:cs="宋体"/>
                <w:kern w:val="0"/>
                <w:sz w:val="24"/>
                <w:highlight w:val="none"/>
              </w:rPr>
              <w:t>包件号(如有分包)</w:t>
            </w:r>
          </w:p>
        </w:tc>
        <w:tc>
          <w:tcPr>
            <w:tcW w:w="5850" w:type="dxa"/>
            <w:gridSpan w:val="3"/>
            <w:tcBorders>
              <w:top w:val="single" w:color="auto" w:sz="4" w:space="0"/>
              <w:left w:val="nil"/>
              <w:bottom w:val="single" w:color="auto" w:sz="4" w:space="0"/>
              <w:right w:val="single" w:color="auto" w:sz="4" w:space="0"/>
            </w:tcBorders>
            <w:vAlign w:val="center"/>
          </w:tcPr>
          <w:p>
            <w:pPr>
              <w:widowControl/>
              <w:spacing w:line="360" w:lineRule="auto"/>
              <w:rPr>
                <w:rFonts w:ascii="宋体" w:hAnsi="宋体"/>
                <w:sz w:val="24"/>
                <w:highlight w:val="none"/>
                <w:u w:val="single"/>
              </w:rPr>
            </w:pPr>
          </w:p>
        </w:tc>
      </w:tr>
      <w:tr>
        <w:tblPrEx>
          <w:tblCellMar>
            <w:top w:w="0" w:type="dxa"/>
            <w:left w:w="108" w:type="dxa"/>
            <w:bottom w:w="0" w:type="dxa"/>
            <w:right w:w="108" w:type="dxa"/>
          </w:tblCellMar>
        </w:tblPrEx>
        <w:trPr>
          <w:trHeight w:val="960" w:hRule="atLeast"/>
        </w:trPr>
        <w:tc>
          <w:tcPr>
            <w:tcW w:w="756" w:type="dxa"/>
            <w:tcBorders>
              <w:top w:val="nil"/>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bCs/>
                <w:kern w:val="0"/>
                <w:sz w:val="24"/>
                <w:highlight w:val="none"/>
              </w:rPr>
            </w:pPr>
            <w:r>
              <w:rPr>
                <w:rFonts w:hint="eastAsia" w:ascii="宋体" w:hAnsi="宋体" w:cs="宋体"/>
                <w:bCs/>
                <w:kern w:val="0"/>
                <w:sz w:val="24"/>
                <w:highlight w:val="none"/>
              </w:rPr>
              <w:t>序号</w:t>
            </w:r>
          </w:p>
        </w:tc>
        <w:tc>
          <w:tcPr>
            <w:tcW w:w="2533" w:type="dxa"/>
            <w:gridSpan w:val="3"/>
            <w:tcBorders>
              <w:top w:val="nil"/>
              <w:left w:val="nil"/>
              <w:bottom w:val="single" w:color="auto" w:sz="4" w:space="0"/>
              <w:right w:val="single" w:color="auto" w:sz="4" w:space="0"/>
            </w:tcBorders>
            <w:vAlign w:val="center"/>
          </w:tcPr>
          <w:p>
            <w:pPr>
              <w:widowControl/>
              <w:spacing w:line="360" w:lineRule="auto"/>
              <w:jc w:val="center"/>
              <w:rPr>
                <w:rFonts w:ascii="宋体" w:hAnsi="宋体" w:cs="宋体"/>
                <w:bCs/>
                <w:kern w:val="0"/>
                <w:sz w:val="24"/>
                <w:highlight w:val="none"/>
              </w:rPr>
            </w:pPr>
            <w:r>
              <w:rPr>
                <w:rFonts w:hint="eastAsia" w:ascii="宋体" w:hAnsi="宋体" w:cs="宋体"/>
                <w:bCs/>
                <w:kern w:val="0"/>
                <w:sz w:val="24"/>
                <w:highlight w:val="none"/>
              </w:rPr>
              <w:t>服务内容</w:t>
            </w:r>
          </w:p>
        </w:tc>
        <w:tc>
          <w:tcPr>
            <w:tcW w:w="1882" w:type="dxa"/>
            <w:tcBorders>
              <w:top w:val="nil"/>
              <w:left w:val="nil"/>
              <w:bottom w:val="single" w:color="auto" w:sz="4" w:space="0"/>
              <w:right w:val="single" w:color="auto" w:sz="4" w:space="0"/>
            </w:tcBorders>
            <w:vAlign w:val="center"/>
          </w:tcPr>
          <w:p>
            <w:pPr>
              <w:spacing w:line="360" w:lineRule="auto"/>
              <w:jc w:val="center"/>
              <w:rPr>
                <w:rFonts w:ascii="宋体" w:hAnsi="宋体" w:cs="宋体"/>
                <w:bCs/>
                <w:kern w:val="0"/>
                <w:sz w:val="24"/>
                <w:highlight w:val="none"/>
              </w:rPr>
            </w:pPr>
            <w:r>
              <w:rPr>
                <w:rFonts w:hint="eastAsia" w:ascii="宋体" w:hAnsi="宋体" w:cs="宋体"/>
                <w:bCs/>
                <w:kern w:val="0"/>
                <w:sz w:val="24"/>
                <w:highlight w:val="none"/>
              </w:rPr>
              <w:t>服务时间</w:t>
            </w:r>
          </w:p>
        </w:tc>
        <w:tc>
          <w:tcPr>
            <w:tcW w:w="3351" w:type="dxa"/>
            <w:tcBorders>
              <w:top w:val="nil"/>
              <w:left w:val="nil"/>
              <w:bottom w:val="single" w:color="auto" w:sz="4" w:space="0"/>
              <w:right w:val="single" w:color="auto" w:sz="4" w:space="0"/>
            </w:tcBorders>
            <w:vAlign w:val="center"/>
          </w:tcPr>
          <w:p>
            <w:pPr>
              <w:widowControl/>
              <w:spacing w:line="360" w:lineRule="auto"/>
              <w:jc w:val="center"/>
              <w:rPr>
                <w:rFonts w:ascii="宋体" w:hAnsi="宋体" w:cs="宋体"/>
                <w:bCs/>
                <w:kern w:val="0"/>
                <w:sz w:val="24"/>
                <w:highlight w:val="none"/>
              </w:rPr>
            </w:pPr>
            <w:r>
              <w:rPr>
                <w:rFonts w:hint="eastAsia" w:ascii="宋体" w:hAnsi="宋体" w:cs="宋体"/>
                <w:bCs/>
                <w:kern w:val="0"/>
                <w:sz w:val="24"/>
                <w:highlight w:val="none"/>
              </w:rPr>
              <w:t>报价（元）</w:t>
            </w:r>
          </w:p>
        </w:tc>
      </w:tr>
      <w:tr>
        <w:tblPrEx>
          <w:tblCellMar>
            <w:top w:w="0" w:type="dxa"/>
            <w:left w:w="108" w:type="dxa"/>
            <w:bottom w:w="0" w:type="dxa"/>
            <w:right w:w="108" w:type="dxa"/>
          </w:tblCellMar>
        </w:tblPrEx>
        <w:trPr>
          <w:trHeight w:val="597" w:hRule="atLeast"/>
        </w:trPr>
        <w:tc>
          <w:tcPr>
            <w:tcW w:w="756" w:type="dxa"/>
            <w:tcBorders>
              <w:top w:val="nil"/>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bCs/>
                <w:kern w:val="0"/>
                <w:sz w:val="24"/>
                <w:highlight w:val="none"/>
              </w:rPr>
            </w:pPr>
            <w:r>
              <w:rPr>
                <w:rFonts w:hint="eastAsia" w:ascii="宋体" w:hAnsi="宋体" w:cs="宋体"/>
                <w:bCs/>
                <w:kern w:val="0"/>
                <w:sz w:val="24"/>
                <w:highlight w:val="none"/>
              </w:rPr>
              <w:t>1</w:t>
            </w:r>
          </w:p>
        </w:tc>
        <w:tc>
          <w:tcPr>
            <w:tcW w:w="2533" w:type="dxa"/>
            <w:gridSpan w:val="3"/>
            <w:tcBorders>
              <w:top w:val="nil"/>
              <w:left w:val="nil"/>
              <w:bottom w:val="single" w:color="auto" w:sz="4" w:space="0"/>
              <w:right w:val="single" w:color="auto" w:sz="4" w:space="0"/>
            </w:tcBorders>
            <w:vAlign w:val="center"/>
          </w:tcPr>
          <w:p>
            <w:pPr>
              <w:widowControl/>
              <w:spacing w:line="360" w:lineRule="auto"/>
              <w:jc w:val="center"/>
              <w:rPr>
                <w:rFonts w:ascii="宋体" w:hAnsi="宋体" w:cs="宋体"/>
                <w:bCs/>
                <w:kern w:val="0"/>
                <w:sz w:val="24"/>
                <w:highlight w:val="none"/>
              </w:rPr>
            </w:pPr>
          </w:p>
        </w:tc>
        <w:tc>
          <w:tcPr>
            <w:tcW w:w="1882" w:type="dxa"/>
            <w:tcBorders>
              <w:top w:val="nil"/>
              <w:left w:val="nil"/>
              <w:bottom w:val="single" w:color="auto" w:sz="4" w:space="0"/>
              <w:right w:val="single" w:color="auto" w:sz="4" w:space="0"/>
            </w:tcBorders>
            <w:vAlign w:val="center"/>
          </w:tcPr>
          <w:p>
            <w:pPr>
              <w:spacing w:line="360" w:lineRule="auto"/>
              <w:jc w:val="center"/>
              <w:rPr>
                <w:rFonts w:ascii="宋体" w:hAnsi="宋体" w:cs="宋体"/>
                <w:bCs/>
                <w:kern w:val="0"/>
                <w:sz w:val="24"/>
                <w:highlight w:val="none"/>
              </w:rPr>
            </w:pPr>
          </w:p>
        </w:tc>
        <w:tc>
          <w:tcPr>
            <w:tcW w:w="3351" w:type="dxa"/>
            <w:tcBorders>
              <w:top w:val="nil"/>
              <w:left w:val="nil"/>
              <w:bottom w:val="single" w:color="auto" w:sz="4" w:space="0"/>
              <w:right w:val="single" w:color="auto" w:sz="4" w:space="0"/>
            </w:tcBorders>
            <w:vAlign w:val="center"/>
          </w:tcPr>
          <w:p>
            <w:pPr>
              <w:widowControl/>
              <w:spacing w:line="360" w:lineRule="auto"/>
              <w:jc w:val="center"/>
              <w:rPr>
                <w:rFonts w:ascii="宋体" w:hAnsi="宋体" w:cs="宋体"/>
                <w:bCs/>
                <w:kern w:val="0"/>
                <w:sz w:val="24"/>
                <w:highlight w:val="none"/>
              </w:rPr>
            </w:pPr>
          </w:p>
        </w:tc>
      </w:tr>
      <w:tr>
        <w:tblPrEx>
          <w:tblCellMar>
            <w:top w:w="0" w:type="dxa"/>
            <w:left w:w="108" w:type="dxa"/>
            <w:bottom w:w="0" w:type="dxa"/>
            <w:right w:w="108" w:type="dxa"/>
          </w:tblCellMar>
        </w:tblPrEx>
        <w:trPr>
          <w:trHeight w:val="691" w:hRule="atLeast"/>
        </w:trPr>
        <w:tc>
          <w:tcPr>
            <w:tcW w:w="756" w:type="dxa"/>
            <w:tcBorders>
              <w:top w:val="nil"/>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bCs/>
                <w:kern w:val="0"/>
                <w:sz w:val="24"/>
                <w:highlight w:val="none"/>
              </w:rPr>
            </w:pPr>
            <w:r>
              <w:rPr>
                <w:rFonts w:hint="eastAsia" w:ascii="宋体" w:hAnsi="宋体" w:cs="宋体"/>
                <w:bCs/>
                <w:kern w:val="0"/>
                <w:sz w:val="24"/>
                <w:highlight w:val="none"/>
              </w:rPr>
              <w:t>2</w:t>
            </w:r>
          </w:p>
        </w:tc>
        <w:tc>
          <w:tcPr>
            <w:tcW w:w="2533" w:type="dxa"/>
            <w:gridSpan w:val="3"/>
            <w:tcBorders>
              <w:top w:val="nil"/>
              <w:left w:val="nil"/>
              <w:bottom w:val="single" w:color="auto" w:sz="4" w:space="0"/>
              <w:right w:val="single" w:color="auto" w:sz="4" w:space="0"/>
            </w:tcBorders>
            <w:vAlign w:val="center"/>
          </w:tcPr>
          <w:p>
            <w:pPr>
              <w:widowControl/>
              <w:spacing w:line="360" w:lineRule="auto"/>
              <w:jc w:val="center"/>
              <w:rPr>
                <w:rFonts w:ascii="宋体" w:hAnsi="宋体" w:cs="宋体"/>
                <w:bCs/>
                <w:kern w:val="0"/>
                <w:sz w:val="24"/>
                <w:highlight w:val="none"/>
              </w:rPr>
            </w:pPr>
          </w:p>
        </w:tc>
        <w:tc>
          <w:tcPr>
            <w:tcW w:w="1882" w:type="dxa"/>
            <w:tcBorders>
              <w:top w:val="nil"/>
              <w:left w:val="nil"/>
              <w:bottom w:val="single" w:color="auto" w:sz="4" w:space="0"/>
              <w:right w:val="single" w:color="auto" w:sz="4" w:space="0"/>
            </w:tcBorders>
            <w:vAlign w:val="center"/>
          </w:tcPr>
          <w:p>
            <w:pPr>
              <w:spacing w:line="360" w:lineRule="auto"/>
              <w:jc w:val="center"/>
              <w:rPr>
                <w:rFonts w:ascii="宋体" w:hAnsi="宋体" w:cs="宋体"/>
                <w:bCs/>
                <w:kern w:val="0"/>
                <w:sz w:val="24"/>
                <w:highlight w:val="none"/>
              </w:rPr>
            </w:pPr>
          </w:p>
        </w:tc>
        <w:tc>
          <w:tcPr>
            <w:tcW w:w="3351" w:type="dxa"/>
            <w:tcBorders>
              <w:top w:val="nil"/>
              <w:left w:val="nil"/>
              <w:bottom w:val="single" w:color="auto" w:sz="4" w:space="0"/>
              <w:right w:val="single" w:color="auto" w:sz="4" w:space="0"/>
            </w:tcBorders>
            <w:vAlign w:val="center"/>
          </w:tcPr>
          <w:p>
            <w:pPr>
              <w:widowControl/>
              <w:spacing w:line="360" w:lineRule="auto"/>
              <w:jc w:val="center"/>
              <w:rPr>
                <w:rFonts w:ascii="宋体" w:hAnsi="宋体" w:cs="宋体"/>
                <w:bCs/>
                <w:kern w:val="0"/>
                <w:sz w:val="24"/>
                <w:highlight w:val="none"/>
              </w:rPr>
            </w:pPr>
          </w:p>
        </w:tc>
      </w:tr>
      <w:tr>
        <w:tblPrEx>
          <w:tblCellMar>
            <w:top w:w="0" w:type="dxa"/>
            <w:left w:w="108" w:type="dxa"/>
            <w:bottom w:w="0" w:type="dxa"/>
            <w:right w:w="108" w:type="dxa"/>
          </w:tblCellMar>
        </w:tblPrEx>
        <w:trPr>
          <w:trHeight w:val="691" w:hRule="atLeast"/>
        </w:trPr>
        <w:tc>
          <w:tcPr>
            <w:tcW w:w="756" w:type="dxa"/>
            <w:tcBorders>
              <w:top w:val="nil"/>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bCs/>
                <w:kern w:val="0"/>
                <w:sz w:val="24"/>
                <w:highlight w:val="none"/>
              </w:rPr>
            </w:pPr>
            <w:r>
              <w:rPr>
                <w:rFonts w:hint="eastAsia" w:ascii="宋体" w:hAnsi="宋体" w:cs="宋体"/>
                <w:bCs/>
                <w:kern w:val="0"/>
                <w:sz w:val="24"/>
                <w:highlight w:val="none"/>
              </w:rPr>
              <w:t>3</w:t>
            </w:r>
          </w:p>
        </w:tc>
        <w:tc>
          <w:tcPr>
            <w:tcW w:w="2533" w:type="dxa"/>
            <w:gridSpan w:val="3"/>
            <w:tcBorders>
              <w:top w:val="nil"/>
              <w:left w:val="nil"/>
              <w:bottom w:val="single" w:color="auto" w:sz="4" w:space="0"/>
              <w:right w:val="single" w:color="auto" w:sz="4" w:space="0"/>
            </w:tcBorders>
            <w:vAlign w:val="center"/>
          </w:tcPr>
          <w:p>
            <w:pPr>
              <w:widowControl/>
              <w:spacing w:line="360" w:lineRule="auto"/>
              <w:jc w:val="center"/>
              <w:rPr>
                <w:rFonts w:ascii="宋体" w:hAnsi="宋体" w:cs="宋体"/>
                <w:bCs/>
                <w:kern w:val="0"/>
                <w:sz w:val="24"/>
                <w:highlight w:val="none"/>
              </w:rPr>
            </w:pPr>
          </w:p>
        </w:tc>
        <w:tc>
          <w:tcPr>
            <w:tcW w:w="1882" w:type="dxa"/>
            <w:tcBorders>
              <w:top w:val="nil"/>
              <w:left w:val="nil"/>
              <w:bottom w:val="single" w:color="auto" w:sz="4" w:space="0"/>
              <w:right w:val="single" w:color="auto" w:sz="4" w:space="0"/>
            </w:tcBorders>
            <w:vAlign w:val="center"/>
          </w:tcPr>
          <w:p>
            <w:pPr>
              <w:spacing w:line="360" w:lineRule="auto"/>
              <w:jc w:val="center"/>
              <w:rPr>
                <w:rFonts w:ascii="宋体" w:hAnsi="宋体" w:cs="宋体"/>
                <w:bCs/>
                <w:kern w:val="0"/>
                <w:sz w:val="24"/>
                <w:highlight w:val="none"/>
              </w:rPr>
            </w:pPr>
          </w:p>
        </w:tc>
        <w:tc>
          <w:tcPr>
            <w:tcW w:w="3351" w:type="dxa"/>
            <w:tcBorders>
              <w:top w:val="nil"/>
              <w:left w:val="nil"/>
              <w:bottom w:val="single" w:color="auto" w:sz="4" w:space="0"/>
              <w:right w:val="single" w:color="auto" w:sz="4" w:space="0"/>
            </w:tcBorders>
            <w:vAlign w:val="center"/>
          </w:tcPr>
          <w:p>
            <w:pPr>
              <w:widowControl/>
              <w:spacing w:line="360" w:lineRule="auto"/>
              <w:jc w:val="center"/>
              <w:rPr>
                <w:rFonts w:ascii="宋体" w:hAnsi="宋体" w:cs="宋体"/>
                <w:bCs/>
                <w:kern w:val="0"/>
                <w:sz w:val="24"/>
                <w:highlight w:val="none"/>
              </w:rPr>
            </w:pPr>
          </w:p>
        </w:tc>
      </w:tr>
      <w:tr>
        <w:tblPrEx>
          <w:tblCellMar>
            <w:top w:w="0" w:type="dxa"/>
            <w:left w:w="108" w:type="dxa"/>
            <w:bottom w:w="0" w:type="dxa"/>
            <w:right w:w="108" w:type="dxa"/>
          </w:tblCellMar>
        </w:tblPrEx>
        <w:trPr>
          <w:trHeight w:val="885" w:hRule="atLeast"/>
        </w:trPr>
        <w:tc>
          <w:tcPr>
            <w:tcW w:w="5171" w:type="dxa"/>
            <w:gridSpan w:val="5"/>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kern w:val="0"/>
                <w:sz w:val="24"/>
                <w:highlight w:val="none"/>
              </w:rPr>
            </w:pPr>
            <w:r>
              <w:rPr>
                <w:rFonts w:hint="eastAsia" w:ascii="宋体" w:hAnsi="宋体" w:cs="宋体"/>
                <w:kern w:val="0"/>
                <w:sz w:val="24"/>
                <w:highlight w:val="none"/>
              </w:rPr>
              <w:t>合  计(元)</w:t>
            </w:r>
          </w:p>
        </w:tc>
        <w:tc>
          <w:tcPr>
            <w:tcW w:w="3351" w:type="dxa"/>
            <w:tcBorders>
              <w:top w:val="single" w:color="auto" w:sz="4" w:space="0"/>
              <w:left w:val="single" w:color="auto" w:sz="4" w:space="0"/>
              <w:bottom w:val="single" w:color="auto" w:sz="4" w:space="0"/>
              <w:right w:val="single" w:color="auto" w:sz="4" w:space="0"/>
            </w:tcBorders>
            <w:vAlign w:val="center"/>
          </w:tcPr>
          <w:p>
            <w:pPr>
              <w:widowControl/>
              <w:spacing w:line="360" w:lineRule="auto"/>
              <w:rPr>
                <w:rFonts w:ascii="宋体" w:hAnsi="宋体"/>
                <w:kern w:val="0"/>
                <w:sz w:val="24"/>
                <w:highlight w:val="none"/>
              </w:rPr>
            </w:pPr>
          </w:p>
        </w:tc>
      </w:tr>
      <w:tr>
        <w:tblPrEx>
          <w:tblCellMar>
            <w:top w:w="0" w:type="dxa"/>
            <w:left w:w="108" w:type="dxa"/>
            <w:bottom w:w="0" w:type="dxa"/>
            <w:right w:w="108" w:type="dxa"/>
          </w:tblCellMar>
        </w:tblPrEx>
        <w:trPr>
          <w:trHeight w:val="1271" w:hRule="atLeast"/>
        </w:trPr>
        <w:tc>
          <w:tcPr>
            <w:tcW w:w="2007" w:type="dxa"/>
            <w:gridSpan w:val="2"/>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kern w:val="0"/>
                <w:sz w:val="24"/>
                <w:highlight w:val="none"/>
              </w:rPr>
            </w:pPr>
            <w:r>
              <w:rPr>
                <w:rFonts w:hint="eastAsia" w:ascii="宋体" w:hAnsi="宋体" w:cs="宋体"/>
                <w:kern w:val="0"/>
                <w:sz w:val="24"/>
                <w:highlight w:val="none"/>
              </w:rPr>
              <w:t>投标总价</w:t>
            </w:r>
          </w:p>
        </w:tc>
        <w:tc>
          <w:tcPr>
            <w:tcW w:w="6515" w:type="dxa"/>
            <w:gridSpan w:val="4"/>
            <w:tcBorders>
              <w:top w:val="single" w:color="auto" w:sz="4" w:space="0"/>
              <w:left w:val="nil"/>
              <w:bottom w:val="single" w:color="auto" w:sz="4" w:space="0"/>
              <w:right w:val="single" w:color="auto" w:sz="4" w:space="0"/>
            </w:tcBorders>
            <w:vAlign w:val="center"/>
          </w:tcPr>
          <w:p>
            <w:pPr>
              <w:widowControl/>
              <w:spacing w:line="360" w:lineRule="auto"/>
              <w:rPr>
                <w:rFonts w:ascii="宋体" w:hAnsi="宋体" w:cs="宋体"/>
                <w:kern w:val="0"/>
                <w:sz w:val="24"/>
                <w:highlight w:val="none"/>
              </w:rPr>
            </w:pPr>
            <w:r>
              <w:rPr>
                <w:rFonts w:hint="eastAsia" w:ascii="宋体" w:hAnsi="宋体"/>
                <w:sz w:val="24"/>
                <w:highlight w:val="none"/>
              </w:rPr>
              <w:t>人民币大写：</w:t>
            </w:r>
            <w:r>
              <w:rPr>
                <w:rFonts w:hint="eastAsia" w:ascii="宋体" w:hAnsi="宋体"/>
                <w:bCs/>
                <w:sz w:val="24"/>
                <w:highlight w:val="none"/>
              </w:rPr>
              <w:t>________</w:t>
            </w:r>
            <w:r>
              <w:rPr>
                <w:rFonts w:hint="eastAsia" w:ascii="宋体" w:hAnsi="宋体"/>
                <w:sz w:val="24"/>
                <w:highlight w:val="none"/>
              </w:rPr>
              <w:t>元（人民币小写：</w:t>
            </w:r>
            <w:r>
              <w:rPr>
                <w:rFonts w:hint="eastAsia" w:ascii="宋体" w:hAnsi="宋体"/>
                <w:bCs/>
                <w:sz w:val="24"/>
                <w:highlight w:val="none"/>
              </w:rPr>
              <w:t>______</w:t>
            </w:r>
            <w:r>
              <w:rPr>
                <w:rFonts w:hint="eastAsia" w:ascii="宋体" w:hAnsi="宋体"/>
                <w:sz w:val="24"/>
                <w:highlight w:val="none"/>
              </w:rPr>
              <w:t>元）</w:t>
            </w:r>
          </w:p>
        </w:tc>
      </w:tr>
    </w:tbl>
    <w:p>
      <w:pPr>
        <w:pStyle w:val="7"/>
        <w:spacing w:line="360" w:lineRule="auto"/>
        <w:ind w:firstLine="480"/>
        <w:rPr>
          <w:rFonts w:ascii="宋体" w:hAnsi="宋体"/>
          <w:sz w:val="24"/>
          <w:highlight w:val="none"/>
        </w:rPr>
      </w:pPr>
    </w:p>
    <w:p>
      <w:pPr>
        <w:spacing w:line="360" w:lineRule="auto"/>
        <w:rPr>
          <w:rFonts w:ascii="宋体" w:hAnsi="宋体"/>
          <w:sz w:val="24"/>
          <w:highlight w:val="none"/>
        </w:rPr>
      </w:pPr>
      <w:r>
        <w:rPr>
          <w:rFonts w:hint="eastAsia" w:ascii="宋体" w:hAnsi="宋体"/>
          <w:sz w:val="24"/>
          <w:highlight w:val="none"/>
        </w:rPr>
        <w:t>注：1、“投标总价”应与“投标函”中“投标总价”和“报价明细表的合计金额”一致。</w:t>
      </w:r>
    </w:p>
    <w:p>
      <w:pPr>
        <w:spacing w:line="400" w:lineRule="exact"/>
        <w:ind w:left="807" w:leftChars="213" w:hanging="360" w:hangingChars="150"/>
        <w:rPr>
          <w:rFonts w:ascii="宋体" w:hAnsi="宋体"/>
          <w:sz w:val="24"/>
          <w:highlight w:val="none"/>
        </w:rPr>
      </w:pPr>
      <w:r>
        <w:rPr>
          <w:rFonts w:hint="eastAsia" w:ascii="宋体" w:hAnsi="宋体"/>
          <w:sz w:val="24"/>
          <w:highlight w:val="none"/>
        </w:rPr>
        <w:t>2.“开标一览表”为多页的，每页均需由法定代表人或授权代表签字并盖投标人印章。</w:t>
      </w:r>
    </w:p>
    <w:p>
      <w:pPr>
        <w:spacing w:line="400" w:lineRule="exact"/>
        <w:ind w:firstLine="480" w:firstLineChars="200"/>
        <w:jc w:val="left"/>
        <w:rPr>
          <w:rFonts w:ascii="宋体" w:hAnsi="宋体"/>
          <w:sz w:val="24"/>
          <w:highlight w:val="none"/>
        </w:rPr>
      </w:pPr>
      <w:r>
        <w:rPr>
          <w:rFonts w:hint="eastAsia" w:ascii="宋体" w:hAnsi="宋体"/>
          <w:sz w:val="24"/>
          <w:highlight w:val="none"/>
        </w:rPr>
        <w:t>3、“开标一览表”以包为单位填写。</w:t>
      </w:r>
    </w:p>
    <w:p>
      <w:pPr>
        <w:spacing w:line="400" w:lineRule="exact"/>
        <w:ind w:firstLine="480" w:firstLineChars="200"/>
        <w:jc w:val="left"/>
        <w:rPr>
          <w:rFonts w:ascii="宋体" w:hAnsi="宋体"/>
          <w:sz w:val="24"/>
          <w:highlight w:val="none"/>
        </w:rPr>
      </w:pPr>
    </w:p>
    <w:p>
      <w:pPr>
        <w:widowControl/>
        <w:spacing w:line="360" w:lineRule="auto"/>
        <w:ind w:firstLine="360" w:firstLineChars="150"/>
        <w:rPr>
          <w:rFonts w:ascii="宋体" w:hAnsi="宋体"/>
          <w:sz w:val="24"/>
          <w:highlight w:val="none"/>
        </w:rPr>
      </w:pPr>
      <w:bookmarkStart w:id="43" w:name="_Toc217446086"/>
      <w:r>
        <w:rPr>
          <w:rFonts w:hint="eastAsia" w:ascii="宋体" w:hAnsi="宋体"/>
          <w:sz w:val="24"/>
          <w:highlight w:val="none"/>
        </w:rPr>
        <w:t>投标人名称：（单位公章）</w:t>
      </w:r>
    </w:p>
    <w:p>
      <w:pPr>
        <w:widowControl/>
        <w:spacing w:line="360" w:lineRule="auto"/>
        <w:ind w:firstLine="360" w:firstLineChars="150"/>
        <w:rPr>
          <w:rFonts w:ascii="宋体" w:hAnsi="宋体"/>
          <w:sz w:val="24"/>
          <w:highlight w:val="none"/>
        </w:rPr>
      </w:pPr>
      <w:r>
        <w:rPr>
          <w:rFonts w:hint="eastAsia" w:ascii="宋体" w:hAnsi="宋体"/>
          <w:sz w:val="24"/>
          <w:highlight w:val="none"/>
        </w:rPr>
        <w:t>法定代表人（负责人）或授权代表（签字或加盖个人名章）：</w:t>
      </w:r>
    </w:p>
    <w:p>
      <w:pPr>
        <w:widowControl/>
        <w:spacing w:line="360" w:lineRule="auto"/>
        <w:ind w:firstLine="360" w:firstLineChars="150"/>
        <w:rPr>
          <w:rFonts w:ascii="宋体" w:hAnsi="宋体"/>
          <w:b/>
          <w:bCs/>
          <w:sz w:val="24"/>
          <w:highlight w:val="none"/>
        </w:rPr>
      </w:pPr>
      <w:r>
        <w:rPr>
          <w:rFonts w:hint="eastAsia" w:ascii="宋体" w:hAnsi="宋体"/>
          <w:sz w:val="24"/>
          <w:highlight w:val="none"/>
        </w:rPr>
        <w:t>投标日期：</w:t>
      </w:r>
      <w:r>
        <w:rPr>
          <w:rFonts w:hint="eastAsia" w:ascii="宋体" w:hAnsi="宋体"/>
          <w:bCs/>
          <w:sz w:val="24"/>
          <w:highlight w:val="none"/>
        </w:rPr>
        <w:t>___</w:t>
      </w:r>
      <w:r>
        <w:rPr>
          <w:rFonts w:hint="eastAsia" w:ascii="宋体" w:hAnsi="宋体"/>
          <w:sz w:val="24"/>
          <w:highlight w:val="none"/>
        </w:rPr>
        <w:t>年</w:t>
      </w:r>
      <w:r>
        <w:rPr>
          <w:rFonts w:hint="eastAsia" w:ascii="宋体" w:hAnsi="宋体"/>
          <w:bCs/>
          <w:sz w:val="24"/>
          <w:highlight w:val="none"/>
        </w:rPr>
        <w:t>___</w:t>
      </w:r>
      <w:r>
        <w:rPr>
          <w:rFonts w:hint="eastAsia" w:ascii="宋体" w:hAnsi="宋体"/>
          <w:sz w:val="24"/>
          <w:highlight w:val="none"/>
        </w:rPr>
        <w:t>月</w:t>
      </w:r>
      <w:r>
        <w:rPr>
          <w:rFonts w:hint="eastAsia" w:ascii="宋体" w:hAnsi="宋体"/>
          <w:bCs/>
          <w:sz w:val="24"/>
          <w:highlight w:val="none"/>
        </w:rPr>
        <w:t>___</w:t>
      </w:r>
      <w:r>
        <w:rPr>
          <w:rFonts w:hint="eastAsia" w:ascii="宋体" w:hAnsi="宋体"/>
          <w:sz w:val="24"/>
          <w:highlight w:val="none"/>
        </w:rPr>
        <w:t>日</w:t>
      </w:r>
      <w:bookmarkEnd w:id="43"/>
    </w:p>
    <w:p>
      <w:pPr>
        <w:jc w:val="center"/>
        <w:rPr>
          <w:rFonts w:ascii="宋体" w:hAnsi="宋体"/>
          <w:b/>
          <w:bCs/>
          <w:sz w:val="24"/>
          <w:highlight w:val="none"/>
        </w:rPr>
        <w:sectPr>
          <w:footerReference r:id="rId3" w:type="default"/>
          <w:pgSz w:w="11906" w:h="16838"/>
          <w:pgMar w:top="1440" w:right="1800" w:bottom="1440" w:left="1800" w:header="851" w:footer="992" w:gutter="0"/>
          <w:pgNumType w:fmt="numberInDash" w:start="1"/>
          <w:cols w:space="425" w:num="1"/>
          <w:docGrid w:type="lines" w:linePitch="312" w:charSpace="0"/>
        </w:sectPr>
      </w:pPr>
    </w:p>
    <w:p>
      <w:pPr>
        <w:jc w:val="center"/>
        <w:rPr>
          <w:rFonts w:ascii="宋体" w:hAnsi="宋体" w:cs="宋体"/>
          <w:b/>
          <w:sz w:val="32"/>
          <w:highlight w:val="none"/>
        </w:rPr>
      </w:pPr>
      <w:r>
        <w:rPr>
          <w:rFonts w:hint="eastAsia" w:ascii="宋体" w:hAnsi="宋体" w:cs="宋体"/>
          <w:b/>
          <w:sz w:val="32"/>
          <w:highlight w:val="none"/>
        </w:rPr>
        <w:t>五、投标人基本情况一览表</w:t>
      </w:r>
    </w:p>
    <w:p>
      <w:pPr>
        <w:jc w:val="center"/>
        <w:rPr>
          <w:rFonts w:ascii="宋体" w:hAnsi="宋体" w:cs="宋体"/>
          <w:b/>
          <w:sz w:val="32"/>
          <w:highlight w:val="none"/>
        </w:rPr>
      </w:pPr>
    </w:p>
    <w:tbl>
      <w:tblPr>
        <w:tblStyle w:val="19"/>
        <w:tblW w:w="8840" w:type="dxa"/>
        <w:tblInd w:w="-318"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702"/>
        <w:gridCol w:w="992"/>
        <w:gridCol w:w="1331"/>
        <w:gridCol w:w="1244"/>
        <w:gridCol w:w="7"/>
        <w:gridCol w:w="1318"/>
        <w:gridCol w:w="353"/>
        <w:gridCol w:w="812"/>
        <w:gridCol w:w="1081"/>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62" w:hRule="atLeast"/>
        </w:trPr>
        <w:tc>
          <w:tcPr>
            <w:tcW w:w="1702" w:type="dxa"/>
            <w:vAlign w:val="center"/>
          </w:tcPr>
          <w:p>
            <w:pPr>
              <w:wordWrap w:val="0"/>
              <w:topLinePunct/>
              <w:autoSpaceDE w:val="0"/>
              <w:autoSpaceDN w:val="0"/>
              <w:adjustRightInd w:val="0"/>
              <w:spacing w:line="400" w:lineRule="exact"/>
              <w:jc w:val="center"/>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投标人名称</w:t>
            </w:r>
          </w:p>
        </w:tc>
        <w:tc>
          <w:tcPr>
            <w:tcW w:w="7138" w:type="dxa"/>
            <w:gridSpan w:val="8"/>
            <w:vAlign w:val="center"/>
          </w:tcPr>
          <w:p>
            <w:pPr>
              <w:wordWrap w:val="0"/>
              <w:topLinePunct/>
              <w:autoSpaceDE w:val="0"/>
              <w:autoSpaceDN w:val="0"/>
              <w:adjustRightInd w:val="0"/>
              <w:spacing w:line="400" w:lineRule="exact"/>
              <w:jc w:val="center"/>
              <w:rPr>
                <w:rFonts w:asciiTheme="minorEastAsia" w:hAnsiTheme="minorEastAsia" w:eastAsiaTheme="minorEastAsia"/>
                <w:sz w:val="24"/>
                <w:szCs w:val="24"/>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62" w:hRule="atLeast"/>
        </w:trPr>
        <w:tc>
          <w:tcPr>
            <w:tcW w:w="1702" w:type="dxa"/>
            <w:vAlign w:val="center"/>
          </w:tcPr>
          <w:p>
            <w:pPr>
              <w:wordWrap w:val="0"/>
              <w:topLinePunct/>
              <w:autoSpaceDE w:val="0"/>
              <w:autoSpaceDN w:val="0"/>
              <w:adjustRightInd w:val="0"/>
              <w:spacing w:line="400" w:lineRule="exact"/>
              <w:jc w:val="center"/>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注册地址</w:t>
            </w:r>
          </w:p>
        </w:tc>
        <w:tc>
          <w:tcPr>
            <w:tcW w:w="3574" w:type="dxa"/>
            <w:gridSpan w:val="4"/>
            <w:vAlign w:val="center"/>
          </w:tcPr>
          <w:p>
            <w:pPr>
              <w:wordWrap w:val="0"/>
              <w:topLinePunct/>
              <w:autoSpaceDE w:val="0"/>
              <w:autoSpaceDN w:val="0"/>
              <w:adjustRightInd w:val="0"/>
              <w:spacing w:line="400" w:lineRule="exact"/>
              <w:jc w:val="center"/>
              <w:rPr>
                <w:rFonts w:asciiTheme="minorEastAsia" w:hAnsiTheme="minorEastAsia" w:eastAsiaTheme="minorEastAsia"/>
                <w:sz w:val="24"/>
                <w:szCs w:val="24"/>
                <w:highlight w:val="none"/>
              </w:rPr>
            </w:pPr>
          </w:p>
        </w:tc>
        <w:tc>
          <w:tcPr>
            <w:tcW w:w="1318" w:type="dxa"/>
            <w:vAlign w:val="center"/>
          </w:tcPr>
          <w:p>
            <w:pPr>
              <w:wordWrap w:val="0"/>
              <w:topLinePunct/>
              <w:autoSpaceDE w:val="0"/>
              <w:autoSpaceDN w:val="0"/>
              <w:adjustRightInd w:val="0"/>
              <w:spacing w:line="400" w:lineRule="exact"/>
              <w:jc w:val="center"/>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邮政编码</w:t>
            </w:r>
          </w:p>
        </w:tc>
        <w:tc>
          <w:tcPr>
            <w:tcW w:w="2246" w:type="dxa"/>
            <w:gridSpan w:val="3"/>
            <w:vAlign w:val="center"/>
          </w:tcPr>
          <w:p>
            <w:pPr>
              <w:wordWrap w:val="0"/>
              <w:topLinePunct/>
              <w:autoSpaceDE w:val="0"/>
              <w:autoSpaceDN w:val="0"/>
              <w:adjustRightInd w:val="0"/>
              <w:spacing w:line="400" w:lineRule="exact"/>
              <w:jc w:val="center"/>
              <w:rPr>
                <w:rFonts w:asciiTheme="minorEastAsia" w:hAnsiTheme="minorEastAsia" w:eastAsiaTheme="minorEastAsia"/>
                <w:sz w:val="24"/>
                <w:szCs w:val="24"/>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42" w:hRule="atLeast"/>
        </w:trPr>
        <w:tc>
          <w:tcPr>
            <w:tcW w:w="1702" w:type="dxa"/>
            <w:vMerge w:val="restart"/>
            <w:vAlign w:val="center"/>
          </w:tcPr>
          <w:p>
            <w:pPr>
              <w:wordWrap w:val="0"/>
              <w:topLinePunct/>
              <w:autoSpaceDE w:val="0"/>
              <w:autoSpaceDN w:val="0"/>
              <w:adjustRightInd w:val="0"/>
              <w:spacing w:line="400" w:lineRule="exact"/>
              <w:jc w:val="center"/>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联系方式</w:t>
            </w:r>
          </w:p>
        </w:tc>
        <w:tc>
          <w:tcPr>
            <w:tcW w:w="992" w:type="dxa"/>
            <w:vAlign w:val="center"/>
          </w:tcPr>
          <w:p>
            <w:pPr>
              <w:wordWrap w:val="0"/>
              <w:topLinePunct/>
              <w:autoSpaceDE w:val="0"/>
              <w:autoSpaceDN w:val="0"/>
              <w:adjustRightInd w:val="0"/>
              <w:spacing w:line="400" w:lineRule="exact"/>
              <w:jc w:val="center"/>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联系人</w:t>
            </w:r>
          </w:p>
        </w:tc>
        <w:tc>
          <w:tcPr>
            <w:tcW w:w="2575" w:type="dxa"/>
            <w:gridSpan w:val="2"/>
            <w:vAlign w:val="center"/>
          </w:tcPr>
          <w:p>
            <w:pPr>
              <w:wordWrap w:val="0"/>
              <w:topLinePunct/>
              <w:autoSpaceDE w:val="0"/>
              <w:autoSpaceDN w:val="0"/>
              <w:adjustRightInd w:val="0"/>
              <w:spacing w:line="400" w:lineRule="exact"/>
              <w:jc w:val="center"/>
              <w:rPr>
                <w:rFonts w:asciiTheme="minorEastAsia" w:hAnsiTheme="minorEastAsia" w:eastAsiaTheme="minorEastAsia"/>
                <w:sz w:val="24"/>
                <w:szCs w:val="24"/>
                <w:highlight w:val="none"/>
              </w:rPr>
            </w:pPr>
          </w:p>
        </w:tc>
        <w:tc>
          <w:tcPr>
            <w:tcW w:w="1325" w:type="dxa"/>
            <w:gridSpan w:val="2"/>
            <w:vAlign w:val="center"/>
          </w:tcPr>
          <w:p>
            <w:pPr>
              <w:wordWrap w:val="0"/>
              <w:topLinePunct/>
              <w:autoSpaceDE w:val="0"/>
              <w:autoSpaceDN w:val="0"/>
              <w:adjustRightInd w:val="0"/>
              <w:spacing w:line="400" w:lineRule="exact"/>
              <w:jc w:val="center"/>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电话</w:t>
            </w:r>
          </w:p>
        </w:tc>
        <w:tc>
          <w:tcPr>
            <w:tcW w:w="2246" w:type="dxa"/>
            <w:gridSpan w:val="3"/>
            <w:vAlign w:val="center"/>
          </w:tcPr>
          <w:p>
            <w:pPr>
              <w:wordWrap w:val="0"/>
              <w:topLinePunct/>
              <w:autoSpaceDE w:val="0"/>
              <w:autoSpaceDN w:val="0"/>
              <w:adjustRightInd w:val="0"/>
              <w:spacing w:line="400" w:lineRule="exact"/>
              <w:jc w:val="center"/>
              <w:rPr>
                <w:rFonts w:asciiTheme="minorEastAsia" w:hAnsiTheme="minorEastAsia" w:eastAsiaTheme="minorEastAsia"/>
                <w:sz w:val="24"/>
                <w:szCs w:val="24"/>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148" w:hRule="atLeast"/>
        </w:trPr>
        <w:tc>
          <w:tcPr>
            <w:tcW w:w="1702" w:type="dxa"/>
            <w:vMerge w:val="continue"/>
            <w:vAlign w:val="center"/>
          </w:tcPr>
          <w:p>
            <w:pPr>
              <w:widowControl/>
              <w:wordWrap w:val="0"/>
              <w:topLinePunct/>
              <w:jc w:val="left"/>
              <w:rPr>
                <w:rFonts w:asciiTheme="minorEastAsia" w:hAnsiTheme="minorEastAsia" w:eastAsiaTheme="minorEastAsia"/>
                <w:sz w:val="24"/>
                <w:szCs w:val="24"/>
                <w:highlight w:val="none"/>
              </w:rPr>
            </w:pPr>
          </w:p>
        </w:tc>
        <w:tc>
          <w:tcPr>
            <w:tcW w:w="992" w:type="dxa"/>
            <w:vAlign w:val="center"/>
          </w:tcPr>
          <w:p>
            <w:pPr>
              <w:wordWrap w:val="0"/>
              <w:topLinePunct/>
              <w:autoSpaceDE w:val="0"/>
              <w:autoSpaceDN w:val="0"/>
              <w:adjustRightInd w:val="0"/>
              <w:spacing w:line="400" w:lineRule="exact"/>
              <w:jc w:val="center"/>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传真</w:t>
            </w:r>
          </w:p>
        </w:tc>
        <w:tc>
          <w:tcPr>
            <w:tcW w:w="2575" w:type="dxa"/>
            <w:gridSpan w:val="2"/>
            <w:vAlign w:val="center"/>
          </w:tcPr>
          <w:p>
            <w:pPr>
              <w:wordWrap w:val="0"/>
              <w:topLinePunct/>
              <w:autoSpaceDE w:val="0"/>
              <w:autoSpaceDN w:val="0"/>
              <w:adjustRightInd w:val="0"/>
              <w:spacing w:line="400" w:lineRule="exact"/>
              <w:jc w:val="center"/>
              <w:rPr>
                <w:rFonts w:asciiTheme="minorEastAsia" w:hAnsiTheme="minorEastAsia" w:eastAsiaTheme="minorEastAsia"/>
                <w:sz w:val="24"/>
                <w:szCs w:val="24"/>
                <w:highlight w:val="none"/>
              </w:rPr>
            </w:pPr>
          </w:p>
        </w:tc>
        <w:tc>
          <w:tcPr>
            <w:tcW w:w="1325" w:type="dxa"/>
            <w:gridSpan w:val="2"/>
            <w:vAlign w:val="center"/>
          </w:tcPr>
          <w:p>
            <w:pPr>
              <w:wordWrap w:val="0"/>
              <w:topLinePunct/>
              <w:autoSpaceDE w:val="0"/>
              <w:autoSpaceDN w:val="0"/>
              <w:adjustRightInd w:val="0"/>
              <w:spacing w:line="400" w:lineRule="exact"/>
              <w:jc w:val="center"/>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网址</w:t>
            </w:r>
          </w:p>
        </w:tc>
        <w:tc>
          <w:tcPr>
            <w:tcW w:w="2246" w:type="dxa"/>
            <w:gridSpan w:val="3"/>
            <w:vAlign w:val="center"/>
          </w:tcPr>
          <w:p>
            <w:pPr>
              <w:wordWrap w:val="0"/>
              <w:topLinePunct/>
              <w:autoSpaceDE w:val="0"/>
              <w:autoSpaceDN w:val="0"/>
              <w:adjustRightInd w:val="0"/>
              <w:spacing w:line="400" w:lineRule="exact"/>
              <w:jc w:val="center"/>
              <w:rPr>
                <w:rFonts w:asciiTheme="minorEastAsia" w:hAnsiTheme="minorEastAsia" w:eastAsiaTheme="minorEastAsia"/>
                <w:sz w:val="24"/>
                <w:szCs w:val="24"/>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42" w:hRule="atLeast"/>
        </w:trPr>
        <w:tc>
          <w:tcPr>
            <w:tcW w:w="1702" w:type="dxa"/>
            <w:vAlign w:val="center"/>
          </w:tcPr>
          <w:p>
            <w:pPr>
              <w:wordWrap w:val="0"/>
              <w:topLinePunct/>
              <w:autoSpaceDE w:val="0"/>
              <w:autoSpaceDN w:val="0"/>
              <w:adjustRightInd w:val="0"/>
              <w:spacing w:line="400" w:lineRule="exact"/>
              <w:jc w:val="center"/>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组织结构</w:t>
            </w:r>
          </w:p>
        </w:tc>
        <w:tc>
          <w:tcPr>
            <w:tcW w:w="7138" w:type="dxa"/>
            <w:gridSpan w:val="8"/>
            <w:vAlign w:val="center"/>
          </w:tcPr>
          <w:p>
            <w:pPr>
              <w:wordWrap w:val="0"/>
              <w:topLinePunct/>
              <w:autoSpaceDE w:val="0"/>
              <w:autoSpaceDN w:val="0"/>
              <w:adjustRightInd w:val="0"/>
              <w:spacing w:line="400" w:lineRule="exact"/>
              <w:jc w:val="center"/>
              <w:rPr>
                <w:rFonts w:asciiTheme="minorEastAsia" w:hAnsiTheme="minorEastAsia" w:eastAsiaTheme="minorEastAsia"/>
                <w:sz w:val="24"/>
                <w:szCs w:val="24"/>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62" w:hRule="atLeast"/>
        </w:trPr>
        <w:tc>
          <w:tcPr>
            <w:tcW w:w="1702" w:type="dxa"/>
            <w:vAlign w:val="center"/>
          </w:tcPr>
          <w:p>
            <w:pPr>
              <w:wordWrap w:val="0"/>
              <w:topLinePunct/>
              <w:autoSpaceDE w:val="0"/>
              <w:autoSpaceDN w:val="0"/>
              <w:adjustRightInd w:val="0"/>
              <w:spacing w:line="400" w:lineRule="exact"/>
              <w:jc w:val="center"/>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法定代表人</w:t>
            </w:r>
          </w:p>
        </w:tc>
        <w:tc>
          <w:tcPr>
            <w:tcW w:w="992" w:type="dxa"/>
            <w:vAlign w:val="center"/>
          </w:tcPr>
          <w:p>
            <w:pPr>
              <w:wordWrap w:val="0"/>
              <w:topLinePunct/>
              <w:autoSpaceDE w:val="0"/>
              <w:autoSpaceDN w:val="0"/>
              <w:adjustRightInd w:val="0"/>
              <w:spacing w:line="400" w:lineRule="exact"/>
              <w:jc w:val="center"/>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姓名</w:t>
            </w:r>
          </w:p>
        </w:tc>
        <w:tc>
          <w:tcPr>
            <w:tcW w:w="1331" w:type="dxa"/>
            <w:vAlign w:val="center"/>
          </w:tcPr>
          <w:p>
            <w:pPr>
              <w:wordWrap w:val="0"/>
              <w:topLinePunct/>
              <w:autoSpaceDE w:val="0"/>
              <w:autoSpaceDN w:val="0"/>
              <w:adjustRightInd w:val="0"/>
              <w:spacing w:line="400" w:lineRule="exact"/>
              <w:jc w:val="center"/>
              <w:rPr>
                <w:rFonts w:asciiTheme="minorEastAsia" w:hAnsiTheme="minorEastAsia" w:eastAsiaTheme="minorEastAsia"/>
                <w:sz w:val="24"/>
                <w:szCs w:val="24"/>
                <w:highlight w:val="none"/>
              </w:rPr>
            </w:pPr>
          </w:p>
        </w:tc>
        <w:tc>
          <w:tcPr>
            <w:tcW w:w="1244" w:type="dxa"/>
            <w:vAlign w:val="center"/>
          </w:tcPr>
          <w:p>
            <w:pPr>
              <w:wordWrap w:val="0"/>
              <w:topLinePunct/>
              <w:autoSpaceDE w:val="0"/>
              <w:autoSpaceDN w:val="0"/>
              <w:adjustRightInd w:val="0"/>
              <w:spacing w:line="400" w:lineRule="exact"/>
              <w:jc w:val="center"/>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技术职称</w:t>
            </w:r>
          </w:p>
        </w:tc>
        <w:tc>
          <w:tcPr>
            <w:tcW w:w="1325" w:type="dxa"/>
            <w:gridSpan w:val="2"/>
            <w:vAlign w:val="center"/>
          </w:tcPr>
          <w:p>
            <w:pPr>
              <w:wordWrap w:val="0"/>
              <w:topLinePunct/>
              <w:autoSpaceDE w:val="0"/>
              <w:autoSpaceDN w:val="0"/>
              <w:adjustRightInd w:val="0"/>
              <w:spacing w:line="400" w:lineRule="exact"/>
              <w:jc w:val="center"/>
              <w:rPr>
                <w:rFonts w:asciiTheme="minorEastAsia" w:hAnsiTheme="minorEastAsia" w:eastAsiaTheme="minorEastAsia"/>
                <w:sz w:val="24"/>
                <w:szCs w:val="24"/>
                <w:highlight w:val="none"/>
              </w:rPr>
            </w:pPr>
          </w:p>
        </w:tc>
        <w:tc>
          <w:tcPr>
            <w:tcW w:w="1165" w:type="dxa"/>
            <w:gridSpan w:val="2"/>
            <w:vAlign w:val="center"/>
          </w:tcPr>
          <w:p>
            <w:pPr>
              <w:wordWrap w:val="0"/>
              <w:topLinePunct/>
              <w:autoSpaceDE w:val="0"/>
              <w:autoSpaceDN w:val="0"/>
              <w:adjustRightInd w:val="0"/>
              <w:spacing w:line="400" w:lineRule="exact"/>
              <w:jc w:val="center"/>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电话</w:t>
            </w:r>
          </w:p>
        </w:tc>
        <w:tc>
          <w:tcPr>
            <w:tcW w:w="1081" w:type="dxa"/>
            <w:vAlign w:val="center"/>
          </w:tcPr>
          <w:p>
            <w:pPr>
              <w:wordWrap w:val="0"/>
              <w:topLinePunct/>
              <w:autoSpaceDE w:val="0"/>
              <w:autoSpaceDN w:val="0"/>
              <w:adjustRightInd w:val="0"/>
              <w:spacing w:line="400" w:lineRule="exact"/>
              <w:jc w:val="center"/>
              <w:rPr>
                <w:rFonts w:asciiTheme="minorEastAsia" w:hAnsiTheme="minorEastAsia" w:eastAsiaTheme="minorEastAsia"/>
                <w:b/>
                <w:bCs/>
                <w:sz w:val="24"/>
                <w:szCs w:val="24"/>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42" w:hRule="atLeast"/>
        </w:trPr>
        <w:tc>
          <w:tcPr>
            <w:tcW w:w="1702" w:type="dxa"/>
            <w:vAlign w:val="center"/>
          </w:tcPr>
          <w:p>
            <w:pPr>
              <w:wordWrap w:val="0"/>
              <w:topLinePunct/>
              <w:autoSpaceDE w:val="0"/>
              <w:autoSpaceDN w:val="0"/>
              <w:adjustRightInd w:val="0"/>
              <w:spacing w:line="400" w:lineRule="exact"/>
              <w:jc w:val="center"/>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技术负责人</w:t>
            </w:r>
          </w:p>
        </w:tc>
        <w:tc>
          <w:tcPr>
            <w:tcW w:w="992" w:type="dxa"/>
            <w:vAlign w:val="center"/>
          </w:tcPr>
          <w:p>
            <w:pPr>
              <w:wordWrap w:val="0"/>
              <w:topLinePunct/>
              <w:autoSpaceDE w:val="0"/>
              <w:autoSpaceDN w:val="0"/>
              <w:adjustRightInd w:val="0"/>
              <w:spacing w:line="400" w:lineRule="exact"/>
              <w:jc w:val="center"/>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姓名</w:t>
            </w:r>
          </w:p>
        </w:tc>
        <w:tc>
          <w:tcPr>
            <w:tcW w:w="1331" w:type="dxa"/>
            <w:vAlign w:val="center"/>
          </w:tcPr>
          <w:p>
            <w:pPr>
              <w:wordWrap w:val="0"/>
              <w:topLinePunct/>
              <w:autoSpaceDE w:val="0"/>
              <w:autoSpaceDN w:val="0"/>
              <w:adjustRightInd w:val="0"/>
              <w:spacing w:line="400" w:lineRule="exact"/>
              <w:jc w:val="center"/>
              <w:rPr>
                <w:rFonts w:asciiTheme="minorEastAsia" w:hAnsiTheme="minorEastAsia" w:eastAsiaTheme="minorEastAsia"/>
                <w:sz w:val="24"/>
                <w:szCs w:val="24"/>
                <w:highlight w:val="none"/>
              </w:rPr>
            </w:pPr>
          </w:p>
        </w:tc>
        <w:tc>
          <w:tcPr>
            <w:tcW w:w="1244" w:type="dxa"/>
            <w:vAlign w:val="center"/>
          </w:tcPr>
          <w:p>
            <w:pPr>
              <w:wordWrap w:val="0"/>
              <w:topLinePunct/>
              <w:autoSpaceDE w:val="0"/>
              <w:autoSpaceDN w:val="0"/>
              <w:adjustRightInd w:val="0"/>
              <w:spacing w:line="400" w:lineRule="exact"/>
              <w:jc w:val="center"/>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技术职称</w:t>
            </w:r>
          </w:p>
        </w:tc>
        <w:tc>
          <w:tcPr>
            <w:tcW w:w="1325" w:type="dxa"/>
            <w:gridSpan w:val="2"/>
            <w:vAlign w:val="center"/>
          </w:tcPr>
          <w:p>
            <w:pPr>
              <w:wordWrap w:val="0"/>
              <w:topLinePunct/>
              <w:autoSpaceDE w:val="0"/>
              <w:autoSpaceDN w:val="0"/>
              <w:adjustRightInd w:val="0"/>
              <w:spacing w:line="400" w:lineRule="exact"/>
              <w:jc w:val="center"/>
              <w:rPr>
                <w:rFonts w:asciiTheme="minorEastAsia" w:hAnsiTheme="minorEastAsia" w:eastAsiaTheme="minorEastAsia"/>
                <w:sz w:val="24"/>
                <w:szCs w:val="24"/>
                <w:highlight w:val="none"/>
              </w:rPr>
            </w:pPr>
          </w:p>
        </w:tc>
        <w:tc>
          <w:tcPr>
            <w:tcW w:w="1165" w:type="dxa"/>
            <w:gridSpan w:val="2"/>
            <w:vAlign w:val="center"/>
          </w:tcPr>
          <w:p>
            <w:pPr>
              <w:wordWrap w:val="0"/>
              <w:topLinePunct/>
              <w:autoSpaceDE w:val="0"/>
              <w:autoSpaceDN w:val="0"/>
              <w:adjustRightInd w:val="0"/>
              <w:spacing w:line="400" w:lineRule="exact"/>
              <w:jc w:val="center"/>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电话</w:t>
            </w:r>
          </w:p>
        </w:tc>
        <w:tc>
          <w:tcPr>
            <w:tcW w:w="1081" w:type="dxa"/>
            <w:vAlign w:val="center"/>
          </w:tcPr>
          <w:p>
            <w:pPr>
              <w:wordWrap w:val="0"/>
              <w:topLinePunct/>
              <w:autoSpaceDE w:val="0"/>
              <w:autoSpaceDN w:val="0"/>
              <w:adjustRightInd w:val="0"/>
              <w:spacing w:line="400" w:lineRule="exact"/>
              <w:jc w:val="center"/>
              <w:rPr>
                <w:rFonts w:asciiTheme="minorEastAsia" w:hAnsiTheme="minorEastAsia" w:eastAsiaTheme="minorEastAsia"/>
                <w:b/>
                <w:bCs/>
                <w:sz w:val="24"/>
                <w:szCs w:val="24"/>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42" w:hRule="atLeast"/>
        </w:trPr>
        <w:tc>
          <w:tcPr>
            <w:tcW w:w="1702" w:type="dxa"/>
            <w:vAlign w:val="center"/>
          </w:tcPr>
          <w:p>
            <w:pPr>
              <w:wordWrap w:val="0"/>
              <w:topLinePunct/>
              <w:autoSpaceDE w:val="0"/>
              <w:autoSpaceDN w:val="0"/>
              <w:adjustRightInd w:val="0"/>
              <w:spacing w:line="400" w:lineRule="exact"/>
              <w:jc w:val="center"/>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成立时间</w:t>
            </w:r>
          </w:p>
        </w:tc>
        <w:tc>
          <w:tcPr>
            <w:tcW w:w="2323" w:type="dxa"/>
            <w:gridSpan w:val="2"/>
            <w:vAlign w:val="center"/>
          </w:tcPr>
          <w:p>
            <w:pPr>
              <w:wordWrap w:val="0"/>
              <w:topLinePunct/>
              <w:autoSpaceDE w:val="0"/>
              <w:autoSpaceDN w:val="0"/>
              <w:adjustRightInd w:val="0"/>
              <w:spacing w:line="400" w:lineRule="exact"/>
              <w:jc w:val="center"/>
              <w:rPr>
                <w:rFonts w:asciiTheme="minorEastAsia" w:hAnsiTheme="minorEastAsia" w:eastAsiaTheme="minorEastAsia"/>
                <w:sz w:val="24"/>
                <w:szCs w:val="24"/>
                <w:highlight w:val="none"/>
              </w:rPr>
            </w:pPr>
          </w:p>
        </w:tc>
        <w:tc>
          <w:tcPr>
            <w:tcW w:w="4815" w:type="dxa"/>
            <w:gridSpan w:val="6"/>
            <w:vAlign w:val="center"/>
          </w:tcPr>
          <w:p>
            <w:pPr>
              <w:wordWrap w:val="0"/>
              <w:topLinePunct/>
              <w:autoSpaceDE w:val="0"/>
              <w:autoSpaceDN w:val="0"/>
              <w:adjustRightInd w:val="0"/>
              <w:spacing w:line="400" w:lineRule="exact"/>
              <w:ind w:firstLine="1680" w:firstLineChars="700"/>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员工总人数：</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62" w:hRule="atLeast"/>
        </w:trPr>
        <w:tc>
          <w:tcPr>
            <w:tcW w:w="1702" w:type="dxa"/>
            <w:vAlign w:val="center"/>
          </w:tcPr>
          <w:p>
            <w:pPr>
              <w:wordWrap w:val="0"/>
              <w:topLinePunct/>
              <w:autoSpaceDE w:val="0"/>
              <w:autoSpaceDN w:val="0"/>
              <w:adjustRightInd w:val="0"/>
              <w:spacing w:line="400" w:lineRule="exact"/>
              <w:jc w:val="center"/>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企业资质等级</w:t>
            </w:r>
          </w:p>
        </w:tc>
        <w:tc>
          <w:tcPr>
            <w:tcW w:w="2323" w:type="dxa"/>
            <w:gridSpan w:val="2"/>
            <w:vAlign w:val="center"/>
          </w:tcPr>
          <w:p>
            <w:pPr>
              <w:wordWrap w:val="0"/>
              <w:topLinePunct/>
              <w:autoSpaceDE w:val="0"/>
              <w:autoSpaceDN w:val="0"/>
              <w:adjustRightInd w:val="0"/>
              <w:spacing w:line="400" w:lineRule="exact"/>
              <w:jc w:val="center"/>
              <w:rPr>
                <w:rFonts w:asciiTheme="minorEastAsia" w:hAnsiTheme="minorEastAsia" w:eastAsiaTheme="minorEastAsia"/>
                <w:sz w:val="24"/>
                <w:szCs w:val="24"/>
                <w:highlight w:val="none"/>
              </w:rPr>
            </w:pPr>
          </w:p>
        </w:tc>
        <w:tc>
          <w:tcPr>
            <w:tcW w:w="1244" w:type="dxa"/>
            <w:vMerge w:val="restart"/>
            <w:vAlign w:val="center"/>
          </w:tcPr>
          <w:p>
            <w:pPr>
              <w:wordWrap w:val="0"/>
              <w:topLinePunct/>
              <w:autoSpaceDE w:val="0"/>
              <w:autoSpaceDN w:val="0"/>
              <w:adjustRightInd w:val="0"/>
              <w:spacing w:line="400" w:lineRule="exact"/>
              <w:jc w:val="center"/>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其中</w:t>
            </w:r>
          </w:p>
        </w:tc>
        <w:tc>
          <w:tcPr>
            <w:tcW w:w="1678" w:type="dxa"/>
            <w:gridSpan w:val="3"/>
            <w:vAlign w:val="center"/>
          </w:tcPr>
          <w:p>
            <w:pPr>
              <w:wordWrap w:val="0"/>
              <w:topLinePunct/>
              <w:autoSpaceDE w:val="0"/>
              <w:autoSpaceDN w:val="0"/>
              <w:adjustRightInd w:val="0"/>
              <w:spacing w:line="400" w:lineRule="exact"/>
              <w:jc w:val="center"/>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项目经理</w:t>
            </w:r>
          </w:p>
        </w:tc>
        <w:tc>
          <w:tcPr>
            <w:tcW w:w="1893" w:type="dxa"/>
            <w:gridSpan w:val="2"/>
            <w:vAlign w:val="center"/>
          </w:tcPr>
          <w:p>
            <w:pPr>
              <w:wordWrap w:val="0"/>
              <w:topLinePunct/>
              <w:autoSpaceDE w:val="0"/>
              <w:autoSpaceDN w:val="0"/>
              <w:adjustRightInd w:val="0"/>
              <w:spacing w:line="400" w:lineRule="exact"/>
              <w:jc w:val="center"/>
              <w:rPr>
                <w:rFonts w:asciiTheme="minorEastAsia" w:hAnsiTheme="minorEastAsia" w:eastAsiaTheme="minorEastAsia"/>
                <w:b/>
                <w:bCs/>
                <w:sz w:val="24"/>
                <w:szCs w:val="24"/>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42" w:hRule="atLeast"/>
        </w:trPr>
        <w:tc>
          <w:tcPr>
            <w:tcW w:w="1702" w:type="dxa"/>
            <w:vAlign w:val="center"/>
          </w:tcPr>
          <w:p>
            <w:pPr>
              <w:wordWrap w:val="0"/>
              <w:topLinePunct/>
              <w:autoSpaceDE w:val="0"/>
              <w:autoSpaceDN w:val="0"/>
              <w:adjustRightInd w:val="0"/>
              <w:spacing w:line="400" w:lineRule="exact"/>
              <w:jc w:val="center"/>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营业执照号</w:t>
            </w:r>
          </w:p>
        </w:tc>
        <w:tc>
          <w:tcPr>
            <w:tcW w:w="2323" w:type="dxa"/>
            <w:gridSpan w:val="2"/>
            <w:vAlign w:val="center"/>
          </w:tcPr>
          <w:p>
            <w:pPr>
              <w:wordWrap w:val="0"/>
              <w:topLinePunct/>
              <w:autoSpaceDE w:val="0"/>
              <w:autoSpaceDN w:val="0"/>
              <w:adjustRightInd w:val="0"/>
              <w:spacing w:line="400" w:lineRule="exact"/>
              <w:jc w:val="center"/>
              <w:rPr>
                <w:rFonts w:asciiTheme="minorEastAsia" w:hAnsiTheme="minorEastAsia" w:eastAsiaTheme="minorEastAsia"/>
                <w:sz w:val="24"/>
                <w:szCs w:val="24"/>
                <w:highlight w:val="none"/>
              </w:rPr>
            </w:pPr>
          </w:p>
        </w:tc>
        <w:tc>
          <w:tcPr>
            <w:tcW w:w="1244" w:type="dxa"/>
            <w:vMerge w:val="continue"/>
            <w:vAlign w:val="center"/>
          </w:tcPr>
          <w:p>
            <w:pPr>
              <w:widowControl/>
              <w:wordWrap w:val="0"/>
              <w:topLinePunct/>
              <w:jc w:val="left"/>
              <w:rPr>
                <w:rFonts w:asciiTheme="minorEastAsia" w:hAnsiTheme="minorEastAsia" w:eastAsiaTheme="minorEastAsia"/>
                <w:sz w:val="24"/>
                <w:szCs w:val="24"/>
                <w:highlight w:val="none"/>
              </w:rPr>
            </w:pPr>
          </w:p>
        </w:tc>
        <w:tc>
          <w:tcPr>
            <w:tcW w:w="1678" w:type="dxa"/>
            <w:gridSpan w:val="3"/>
            <w:vAlign w:val="center"/>
          </w:tcPr>
          <w:p>
            <w:pPr>
              <w:wordWrap w:val="0"/>
              <w:topLinePunct/>
              <w:autoSpaceDE w:val="0"/>
              <w:autoSpaceDN w:val="0"/>
              <w:adjustRightInd w:val="0"/>
              <w:spacing w:line="400" w:lineRule="exact"/>
              <w:jc w:val="center"/>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高级职称人员</w:t>
            </w:r>
          </w:p>
        </w:tc>
        <w:tc>
          <w:tcPr>
            <w:tcW w:w="1893" w:type="dxa"/>
            <w:gridSpan w:val="2"/>
            <w:vAlign w:val="center"/>
          </w:tcPr>
          <w:p>
            <w:pPr>
              <w:wordWrap w:val="0"/>
              <w:topLinePunct/>
              <w:autoSpaceDE w:val="0"/>
              <w:autoSpaceDN w:val="0"/>
              <w:adjustRightInd w:val="0"/>
              <w:spacing w:line="400" w:lineRule="exact"/>
              <w:jc w:val="center"/>
              <w:rPr>
                <w:rFonts w:asciiTheme="minorEastAsia" w:hAnsiTheme="minorEastAsia" w:eastAsiaTheme="minorEastAsia"/>
                <w:b/>
                <w:bCs/>
                <w:sz w:val="24"/>
                <w:szCs w:val="24"/>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42" w:hRule="atLeast"/>
        </w:trPr>
        <w:tc>
          <w:tcPr>
            <w:tcW w:w="1702" w:type="dxa"/>
            <w:vAlign w:val="center"/>
          </w:tcPr>
          <w:p>
            <w:pPr>
              <w:wordWrap w:val="0"/>
              <w:topLinePunct/>
              <w:autoSpaceDE w:val="0"/>
              <w:autoSpaceDN w:val="0"/>
              <w:adjustRightInd w:val="0"/>
              <w:spacing w:line="400" w:lineRule="exact"/>
              <w:jc w:val="center"/>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注册资金</w:t>
            </w:r>
          </w:p>
        </w:tc>
        <w:tc>
          <w:tcPr>
            <w:tcW w:w="2323" w:type="dxa"/>
            <w:gridSpan w:val="2"/>
            <w:vAlign w:val="center"/>
          </w:tcPr>
          <w:p>
            <w:pPr>
              <w:wordWrap w:val="0"/>
              <w:topLinePunct/>
              <w:autoSpaceDE w:val="0"/>
              <w:autoSpaceDN w:val="0"/>
              <w:adjustRightInd w:val="0"/>
              <w:spacing w:line="400" w:lineRule="exact"/>
              <w:jc w:val="center"/>
              <w:rPr>
                <w:rFonts w:asciiTheme="minorEastAsia" w:hAnsiTheme="minorEastAsia" w:eastAsiaTheme="minorEastAsia"/>
                <w:sz w:val="24"/>
                <w:szCs w:val="24"/>
                <w:highlight w:val="none"/>
              </w:rPr>
            </w:pPr>
          </w:p>
        </w:tc>
        <w:tc>
          <w:tcPr>
            <w:tcW w:w="1244" w:type="dxa"/>
            <w:vMerge w:val="continue"/>
            <w:vAlign w:val="center"/>
          </w:tcPr>
          <w:p>
            <w:pPr>
              <w:widowControl/>
              <w:wordWrap w:val="0"/>
              <w:topLinePunct/>
              <w:jc w:val="left"/>
              <w:rPr>
                <w:rFonts w:asciiTheme="minorEastAsia" w:hAnsiTheme="minorEastAsia" w:eastAsiaTheme="minorEastAsia"/>
                <w:sz w:val="24"/>
                <w:szCs w:val="24"/>
                <w:highlight w:val="none"/>
              </w:rPr>
            </w:pPr>
          </w:p>
        </w:tc>
        <w:tc>
          <w:tcPr>
            <w:tcW w:w="1678" w:type="dxa"/>
            <w:gridSpan w:val="3"/>
            <w:vAlign w:val="center"/>
          </w:tcPr>
          <w:p>
            <w:pPr>
              <w:wordWrap w:val="0"/>
              <w:topLinePunct/>
              <w:autoSpaceDE w:val="0"/>
              <w:autoSpaceDN w:val="0"/>
              <w:adjustRightInd w:val="0"/>
              <w:spacing w:line="400" w:lineRule="exact"/>
              <w:jc w:val="center"/>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中级职称人员</w:t>
            </w:r>
          </w:p>
        </w:tc>
        <w:tc>
          <w:tcPr>
            <w:tcW w:w="1893" w:type="dxa"/>
            <w:gridSpan w:val="2"/>
            <w:vAlign w:val="center"/>
          </w:tcPr>
          <w:p>
            <w:pPr>
              <w:wordWrap w:val="0"/>
              <w:topLinePunct/>
              <w:autoSpaceDE w:val="0"/>
              <w:autoSpaceDN w:val="0"/>
              <w:adjustRightInd w:val="0"/>
              <w:spacing w:line="400" w:lineRule="exact"/>
              <w:jc w:val="center"/>
              <w:rPr>
                <w:rFonts w:asciiTheme="minorEastAsia" w:hAnsiTheme="minorEastAsia" w:eastAsiaTheme="minorEastAsia"/>
                <w:b/>
                <w:bCs/>
                <w:sz w:val="24"/>
                <w:szCs w:val="24"/>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62" w:hRule="atLeast"/>
        </w:trPr>
        <w:tc>
          <w:tcPr>
            <w:tcW w:w="1702" w:type="dxa"/>
            <w:vAlign w:val="center"/>
          </w:tcPr>
          <w:p>
            <w:pPr>
              <w:wordWrap w:val="0"/>
              <w:topLinePunct/>
              <w:autoSpaceDE w:val="0"/>
              <w:autoSpaceDN w:val="0"/>
              <w:adjustRightInd w:val="0"/>
              <w:spacing w:line="400" w:lineRule="exact"/>
              <w:jc w:val="center"/>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开户银行</w:t>
            </w:r>
          </w:p>
        </w:tc>
        <w:tc>
          <w:tcPr>
            <w:tcW w:w="2323" w:type="dxa"/>
            <w:gridSpan w:val="2"/>
            <w:vAlign w:val="center"/>
          </w:tcPr>
          <w:p>
            <w:pPr>
              <w:wordWrap w:val="0"/>
              <w:topLinePunct/>
              <w:autoSpaceDE w:val="0"/>
              <w:autoSpaceDN w:val="0"/>
              <w:adjustRightInd w:val="0"/>
              <w:spacing w:line="400" w:lineRule="exact"/>
              <w:jc w:val="center"/>
              <w:rPr>
                <w:rFonts w:asciiTheme="minorEastAsia" w:hAnsiTheme="minorEastAsia" w:eastAsiaTheme="minorEastAsia"/>
                <w:sz w:val="24"/>
                <w:szCs w:val="24"/>
                <w:highlight w:val="none"/>
              </w:rPr>
            </w:pPr>
          </w:p>
        </w:tc>
        <w:tc>
          <w:tcPr>
            <w:tcW w:w="1244" w:type="dxa"/>
            <w:vMerge w:val="continue"/>
            <w:vAlign w:val="center"/>
          </w:tcPr>
          <w:p>
            <w:pPr>
              <w:widowControl/>
              <w:wordWrap w:val="0"/>
              <w:topLinePunct/>
              <w:jc w:val="left"/>
              <w:rPr>
                <w:rFonts w:asciiTheme="minorEastAsia" w:hAnsiTheme="minorEastAsia" w:eastAsiaTheme="minorEastAsia"/>
                <w:sz w:val="24"/>
                <w:szCs w:val="24"/>
                <w:highlight w:val="none"/>
              </w:rPr>
            </w:pPr>
          </w:p>
        </w:tc>
        <w:tc>
          <w:tcPr>
            <w:tcW w:w="1678" w:type="dxa"/>
            <w:gridSpan w:val="3"/>
            <w:vAlign w:val="center"/>
          </w:tcPr>
          <w:p>
            <w:pPr>
              <w:wordWrap w:val="0"/>
              <w:topLinePunct/>
              <w:autoSpaceDE w:val="0"/>
              <w:autoSpaceDN w:val="0"/>
              <w:adjustRightInd w:val="0"/>
              <w:spacing w:line="400" w:lineRule="exact"/>
              <w:jc w:val="center"/>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初级职称人员</w:t>
            </w:r>
          </w:p>
        </w:tc>
        <w:tc>
          <w:tcPr>
            <w:tcW w:w="1893" w:type="dxa"/>
            <w:gridSpan w:val="2"/>
            <w:vAlign w:val="center"/>
          </w:tcPr>
          <w:p>
            <w:pPr>
              <w:wordWrap w:val="0"/>
              <w:topLinePunct/>
              <w:autoSpaceDE w:val="0"/>
              <w:autoSpaceDN w:val="0"/>
              <w:adjustRightInd w:val="0"/>
              <w:spacing w:line="400" w:lineRule="exact"/>
              <w:jc w:val="center"/>
              <w:rPr>
                <w:rFonts w:asciiTheme="minorEastAsia" w:hAnsiTheme="minorEastAsia" w:eastAsiaTheme="minorEastAsia"/>
                <w:b/>
                <w:bCs/>
                <w:sz w:val="24"/>
                <w:szCs w:val="24"/>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42" w:hRule="atLeast"/>
        </w:trPr>
        <w:tc>
          <w:tcPr>
            <w:tcW w:w="1702" w:type="dxa"/>
            <w:vAlign w:val="center"/>
          </w:tcPr>
          <w:p>
            <w:pPr>
              <w:wordWrap w:val="0"/>
              <w:topLinePunct/>
              <w:autoSpaceDE w:val="0"/>
              <w:autoSpaceDN w:val="0"/>
              <w:adjustRightInd w:val="0"/>
              <w:spacing w:line="400" w:lineRule="exact"/>
              <w:jc w:val="center"/>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账号</w:t>
            </w:r>
          </w:p>
        </w:tc>
        <w:tc>
          <w:tcPr>
            <w:tcW w:w="2323" w:type="dxa"/>
            <w:gridSpan w:val="2"/>
            <w:vAlign w:val="center"/>
          </w:tcPr>
          <w:p>
            <w:pPr>
              <w:wordWrap w:val="0"/>
              <w:topLinePunct/>
              <w:autoSpaceDE w:val="0"/>
              <w:autoSpaceDN w:val="0"/>
              <w:adjustRightInd w:val="0"/>
              <w:spacing w:line="400" w:lineRule="exact"/>
              <w:jc w:val="center"/>
              <w:rPr>
                <w:rFonts w:asciiTheme="minorEastAsia" w:hAnsiTheme="minorEastAsia" w:eastAsiaTheme="minorEastAsia"/>
                <w:sz w:val="24"/>
                <w:szCs w:val="24"/>
                <w:highlight w:val="none"/>
              </w:rPr>
            </w:pPr>
          </w:p>
        </w:tc>
        <w:tc>
          <w:tcPr>
            <w:tcW w:w="1244" w:type="dxa"/>
            <w:vMerge w:val="continue"/>
            <w:vAlign w:val="center"/>
          </w:tcPr>
          <w:p>
            <w:pPr>
              <w:widowControl/>
              <w:wordWrap w:val="0"/>
              <w:topLinePunct/>
              <w:jc w:val="left"/>
              <w:rPr>
                <w:rFonts w:asciiTheme="minorEastAsia" w:hAnsiTheme="minorEastAsia" w:eastAsiaTheme="minorEastAsia"/>
                <w:sz w:val="24"/>
                <w:szCs w:val="24"/>
                <w:highlight w:val="none"/>
              </w:rPr>
            </w:pPr>
          </w:p>
        </w:tc>
        <w:tc>
          <w:tcPr>
            <w:tcW w:w="1678" w:type="dxa"/>
            <w:gridSpan w:val="3"/>
            <w:vAlign w:val="center"/>
          </w:tcPr>
          <w:p>
            <w:pPr>
              <w:wordWrap w:val="0"/>
              <w:topLinePunct/>
              <w:autoSpaceDE w:val="0"/>
              <w:autoSpaceDN w:val="0"/>
              <w:adjustRightInd w:val="0"/>
              <w:spacing w:line="400" w:lineRule="exact"/>
              <w:jc w:val="center"/>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技工</w:t>
            </w:r>
          </w:p>
        </w:tc>
        <w:tc>
          <w:tcPr>
            <w:tcW w:w="1893" w:type="dxa"/>
            <w:gridSpan w:val="2"/>
            <w:vAlign w:val="center"/>
          </w:tcPr>
          <w:p>
            <w:pPr>
              <w:wordWrap w:val="0"/>
              <w:topLinePunct/>
              <w:autoSpaceDE w:val="0"/>
              <w:autoSpaceDN w:val="0"/>
              <w:adjustRightInd w:val="0"/>
              <w:spacing w:line="400" w:lineRule="exact"/>
              <w:jc w:val="center"/>
              <w:rPr>
                <w:rFonts w:asciiTheme="minorEastAsia" w:hAnsiTheme="minorEastAsia" w:eastAsiaTheme="minorEastAsia"/>
                <w:b/>
                <w:bCs/>
                <w:sz w:val="24"/>
                <w:szCs w:val="24"/>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2442" w:hRule="atLeast"/>
        </w:trPr>
        <w:tc>
          <w:tcPr>
            <w:tcW w:w="1702" w:type="dxa"/>
            <w:vAlign w:val="center"/>
          </w:tcPr>
          <w:p>
            <w:pPr>
              <w:wordWrap w:val="0"/>
              <w:topLinePunct/>
              <w:autoSpaceDE w:val="0"/>
              <w:autoSpaceDN w:val="0"/>
              <w:adjustRightInd w:val="0"/>
              <w:spacing w:line="400" w:lineRule="exact"/>
              <w:jc w:val="center"/>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经营范围</w:t>
            </w:r>
          </w:p>
        </w:tc>
        <w:tc>
          <w:tcPr>
            <w:tcW w:w="7138" w:type="dxa"/>
            <w:gridSpan w:val="8"/>
            <w:vAlign w:val="center"/>
          </w:tcPr>
          <w:p>
            <w:pPr>
              <w:wordWrap w:val="0"/>
              <w:topLinePunct/>
              <w:autoSpaceDE w:val="0"/>
              <w:autoSpaceDN w:val="0"/>
              <w:adjustRightInd w:val="0"/>
              <w:spacing w:line="400" w:lineRule="exact"/>
              <w:rPr>
                <w:rFonts w:asciiTheme="minorEastAsia" w:hAnsiTheme="minorEastAsia" w:eastAsiaTheme="minorEastAsia"/>
                <w:b/>
                <w:bCs/>
                <w:sz w:val="24"/>
                <w:szCs w:val="24"/>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1072" w:hRule="atLeast"/>
        </w:trPr>
        <w:tc>
          <w:tcPr>
            <w:tcW w:w="1702" w:type="dxa"/>
          </w:tcPr>
          <w:p>
            <w:pPr>
              <w:wordWrap w:val="0"/>
              <w:topLinePunct/>
              <w:autoSpaceDE w:val="0"/>
              <w:autoSpaceDN w:val="0"/>
              <w:adjustRightInd w:val="0"/>
              <w:spacing w:line="400" w:lineRule="exact"/>
              <w:jc w:val="center"/>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备注</w:t>
            </w:r>
          </w:p>
        </w:tc>
        <w:tc>
          <w:tcPr>
            <w:tcW w:w="7138" w:type="dxa"/>
            <w:gridSpan w:val="8"/>
          </w:tcPr>
          <w:p>
            <w:pPr>
              <w:wordWrap w:val="0"/>
              <w:topLinePunct/>
              <w:autoSpaceDE w:val="0"/>
              <w:autoSpaceDN w:val="0"/>
              <w:adjustRightInd w:val="0"/>
              <w:spacing w:line="400" w:lineRule="exact"/>
              <w:jc w:val="left"/>
              <w:rPr>
                <w:rFonts w:asciiTheme="minorEastAsia" w:hAnsiTheme="minorEastAsia" w:eastAsiaTheme="minorEastAsia"/>
                <w:sz w:val="24"/>
                <w:szCs w:val="24"/>
                <w:highlight w:val="none"/>
              </w:rPr>
            </w:pPr>
          </w:p>
        </w:tc>
      </w:tr>
    </w:tbl>
    <w:p>
      <w:pPr>
        <w:pStyle w:val="11"/>
        <w:topLinePunct/>
        <w:spacing w:line="380" w:lineRule="exact"/>
        <w:jc w:val="center"/>
        <w:rPr>
          <w:rFonts w:ascii="宋体" w:hAnsi="宋体"/>
          <w:bCs/>
          <w:sz w:val="36"/>
          <w:szCs w:val="36"/>
          <w:highlight w:val="none"/>
        </w:rPr>
      </w:pPr>
    </w:p>
    <w:p>
      <w:pPr>
        <w:pStyle w:val="11"/>
        <w:topLinePunct/>
        <w:spacing w:line="380" w:lineRule="exact"/>
        <w:jc w:val="center"/>
        <w:rPr>
          <w:rFonts w:ascii="宋体" w:hAnsi="宋体"/>
          <w:bCs/>
          <w:sz w:val="36"/>
          <w:szCs w:val="36"/>
          <w:highlight w:val="none"/>
        </w:rPr>
      </w:pPr>
    </w:p>
    <w:p>
      <w:pPr>
        <w:pStyle w:val="11"/>
        <w:topLinePunct/>
        <w:spacing w:line="380" w:lineRule="exact"/>
        <w:jc w:val="center"/>
        <w:rPr>
          <w:rFonts w:ascii="宋体" w:hAnsi="宋体"/>
          <w:bCs/>
          <w:sz w:val="36"/>
          <w:szCs w:val="36"/>
          <w:highlight w:val="none"/>
        </w:rPr>
      </w:pPr>
    </w:p>
    <w:p>
      <w:pPr>
        <w:pStyle w:val="11"/>
        <w:topLinePunct/>
        <w:spacing w:line="380" w:lineRule="exact"/>
        <w:jc w:val="center"/>
        <w:rPr>
          <w:rFonts w:ascii="宋体" w:hAnsi="宋体"/>
          <w:bCs/>
          <w:sz w:val="36"/>
          <w:szCs w:val="36"/>
          <w:highlight w:val="none"/>
        </w:rPr>
      </w:pPr>
    </w:p>
    <w:p>
      <w:pPr>
        <w:pStyle w:val="11"/>
        <w:topLinePunct/>
        <w:spacing w:line="380" w:lineRule="exact"/>
        <w:jc w:val="center"/>
        <w:rPr>
          <w:rFonts w:ascii="宋体" w:hAnsi="宋体"/>
          <w:bCs/>
          <w:sz w:val="36"/>
          <w:szCs w:val="36"/>
          <w:highlight w:val="none"/>
        </w:rPr>
      </w:pPr>
    </w:p>
    <w:p>
      <w:pPr>
        <w:pStyle w:val="11"/>
        <w:topLinePunct/>
        <w:spacing w:line="380" w:lineRule="exact"/>
        <w:jc w:val="center"/>
        <w:rPr>
          <w:rFonts w:ascii="宋体" w:hAnsi="宋体"/>
          <w:bCs/>
          <w:sz w:val="36"/>
          <w:szCs w:val="36"/>
          <w:highlight w:val="none"/>
        </w:rPr>
      </w:pPr>
    </w:p>
    <w:p>
      <w:pPr>
        <w:rPr>
          <w:rFonts w:ascii="宋体" w:hAnsi="宋体" w:cs="宋体"/>
          <w:b/>
          <w:sz w:val="32"/>
          <w:highlight w:val="none"/>
        </w:rPr>
      </w:pPr>
      <w:r>
        <w:rPr>
          <w:rFonts w:hint="eastAsia" w:ascii="宋体" w:hAnsi="宋体" w:cs="宋体"/>
          <w:b/>
          <w:sz w:val="32"/>
          <w:highlight w:val="none"/>
        </w:rPr>
        <w:t>六、法人或者其他组织的营业执照等证明文件，自然人的身份证明</w:t>
      </w:r>
    </w:p>
    <w:p>
      <w:pPr>
        <w:widowControl/>
        <w:jc w:val="center"/>
        <w:rPr>
          <w:rFonts w:ascii="宋体" w:hAnsi="宋体"/>
          <w:sz w:val="24"/>
          <w:highlight w:val="none"/>
        </w:rPr>
      </w:pPr>
      <w:r>
        <w:rPr>
          <w:rFonts w:ascii="宋体" w:hAnsi="宋体"/>
          <w:sz w:val="24"/>
          <w:highlight w:val="none"/>
        </w:rPr>
        <w:br w:type="page"/>
      </w:r>
    </w:p>
    <w:p>
      <w:pPr>
        <w:jc w:val="center"/>
        <w:rPr>
          <w:rFonts w:ascii="宋体" w:hAnsi="宋体"/>
          <w:b/>
          <w:bCs/>
          <w:sz w:val="24"/>
          <w:highlight w:val="none"/>
        </w:rPr>
      </w:pPr>
    </w:p>
    <w:p>
      <w:pPr>
        <w:jc w:val="center"/>
        <w:rPr>
          <w:rFonts w:ascii="宋体" w:hAnsi="宋体" w:cs="宋体"/>
          <w:b/>
          <w:sz w:val="32"/>
          <w:highlight w:val="none"/>
        </w:rPr>
      </w:pPr>
      <w:r>
        <w:rPr>
          <w:rFonts w:hint="eastAsia" w:ascii="宋体" w:hAnsi="宋体" w:cs="宋体"/>
          <w:b/>
          <w:sz w:val="32"/>
          <w:highlight w:val="none"/>
        </w:rPr>
        <w:t>七、法律、行政法规规定的其他条件的证明材料(国家强制性要求的行政许可证书原件的复印件，如有)</w:t>
      </w:r>
    </w:p>
    <w:p>
      <w:pPr>
        <w:widowControl/>
        <w:jc w:val="left"/>
        <w:rPr>
          <w:rFonts w:ascii="宋体" w:hAnsi="宋体"/>
          <w:sz w:val="24"/>
          <w:highlight w:val="none"/>
        </w:rPr>
      </w:pPr>
      <w:r>
        <w:rPr>
          <w:rFonts w:ascii="宋体" w:hAnsi="宋体"/>
          <w:sz w:val="24"/>
          <w:highlight w:val="none"/>
        </w:rPr>
        <w:br w:type="page"/>
      </w:r>
    </w:p>
    <w:p>
      <w:pPr>
        <w:jc w:val="center"/>
        <w:rPr>
          <w:rFonts w:ascii="宋体" w:hAnsi="宋体" w:cs="宋体"/>
          <w:b/>
          <w:sz w:val="32"/>
          <w:highlight w:val="none"/>
        </w:rPr>
      </w:pPr>
      <w:r>
        <w:rPr>
          <w:rFonts w:hint="eastAsia" w:ascii="宋体" w:hAnsi="宋体" w:cs="宋体"/>
          <w:b/>
          <w:sz w:val="32"/>
          <w:highlight w:val="none"/>
        </w:rPr>
        <w:t>八、根据采购项目提出的特殊条件的证明材料：按第二章投标人须知前附表第5条(4)款要求提供资料。</w:t>
      </w:r>
    </w:p>
    <w:p>
      <w:pPr>
        <w:jc w:val="center"/>
        <w:rPr>
          <w:rFonts w:ascii="宋体" w:hAnsi="宋体" w:cs="宋体"/>
          <w:b/>
          <w:sz w:val="32"/>
          <w:highlight w:val="none"/>
        </w:rPr>
      </w:pPr>
      <w:r>
        <w:rPr>
          <w:rFonts w:hint="eastAsia" w:ascii="宋体" w:hAnsi="宋体" w:cs="宋体"/>
          <w:b/>
          <w:sz w:val="32"/>
          <w:highlight w:val="none"/>
        </w:rPr>
        <w:br w:type="page"/>
      </w:r>
    </w:p>
    <w:p>
      <w:pPr>
        <w:jc w:val="center"/>
        <w:rPr>
          <w:rFonts w:ascii="宋体" w:hAnsi="宋体" w:cs="宋体"/>
          <w:b/>
          <w:sz w:val="32"/>
          <w:highlight w:val="none"/>
        </w:rPr>
      </w:pPr>
      <w:r>
        <w:rPr>
          <w:rFonts w:hint="eastAsia" w:ascii="宋体" w:hAnsi="宋体" w:cs="宋体"/>
          <w:b/>
          <w:sz w:val="32"/>
          <w:highlight w:val="none"/>
        </w:rPr>
        <w:t>九、投标承诺及声明</w:t>
      </w:r>
    </w:p>
    <w:p>
      <w:pPr>
        <w:pStyle w:val="11"/>
        <w:topLinePunct/>
        <w:spacing w:after="0" w:line="440" w:lineRule="exact"/>
        <w:ind w:left="0" w:leftChars="0"/>
        <w:rPr>
          <w:rFonts w:ascii="宋体" w:hAnsi="宋体"/>
          <w:sz w:val="24"/>
          <w:highlight w:val="none"/>
          <w:u w:val="single"/>
        </w:rPr>
      </w:pPr>
      <w:r>
        <w:rPr>
          <w:rFonts w:hint="eastAsia" w:ascii="宋体" w:hAnsi="宋体"/>
          <w:bCs/>
          <w:sz w:val="24"/>
          <w:highlight w:val="none"/>
          <w:u w:val="single"/>
          <w:lang w:eastAsia="zh-CN"/>
        </w:rPr>
        <w:t>四川中岚工程项目管理有限公司</w:t>
      </w:r>
      <w:r>
        <w:rPr>
          <w:rFonts w:hint="eastAsia" w:ascii="宋体" w:hAnsi="宋体"/>
          <w:sz w:val="24"/>
          <w:highlight w:val="none"/>
          <w:u w:val="single"/>
        </w:rPr>
        <w:t>：</w:t>
      </w:r>
    </w:p>
    <w:p>
      <w:pPr>
        <w:adjustRightInd w:val="0"/>
        <w:spacing w:line="440" w:lineRule="exact"/>
        <w:ind w:firstLine="420" w:firstLineChars="175"/>
        <w:jc w:val="left"/>
        <w:rPr>
          <w:rFonts w:ascii="宋体" w:hAnsi="宋体" w:cs="宋体"/>
          <w:bCs/>
          <w:sz w:val="24"/>
          <w:szCs w:val="24"/>
          <w:highlight w:val="none"/>
          <w:lang w:val="zh-CN"/>
        </w:rPr>
      </w:pPr>
      <w:r>
        <w:rPr>
          <w:rFonts w:hint="eastAsia" w:ascii="宋体" w:hAnsi="宋体" w:cs="宋体"/>
          <w:bCs/>
          <w:sz w:val="24"/>
          <w:szCs w:val="24"/>
          <w:highlight w:val="none"/>
          <w:lang w:val="zh-CN"/>
        </w:rPr>
        <w:t>本公司______ (供应商名称)参加________(项目名称)(项目编号：_____)的投标活动，现我公司对具备</w:t>
      </w:r>
      <w:r>
        <w:rPr>
          <w:rFonts w:hint="eastAsia" w:ascii="宋体" w:hAnsi="宋体" w:cs="宋体"/>
          <w:bCs/>
          <w:sz w:val="24"/>
          <w:szCs w:val="24"/>
          <w:highlight w:val="none"/>
        </w:rPr>
        <w:t>《中华人民共和国政府采购法》第二十二条规定的条件，具体情况承诺如下</w:t>
      </w:r>
      <w:r>
        <w:rPr>
          <w:rFonts w:hint="eastAsia" w:ascii="宋体" w:hAnsi="宋体" w:cs="宋体"/>
          <w:bCs/>
          <w:sz w:val="24"/>
          <w:szCs w:val="24"/>
          <w:highlight w:val="none"/>
          <w:lang w:val="zh-CN"/>
        </w:rPr>
        <w:t>：</w:t>
      </w:r>
    </w:p>
    <w:p>
      <w:pPr>
        <w:pStyle w:val="53"/>
        <w:adjustRightInd w:val="0"/>
        <w:spacing w:line="440" w:lineRule="exact"/>
        <w:ind w:firstLine="420" w:firstLineChars="175"/>
        <w:jc w:val="left"/>
        <w:rPr>
          <w:rFonts w:hAnsi="宋体" w:cs="宋体"/>
          <w:bCs/>
          <w:sz w:val="24"/>
          <w:szCs w:val="24"/>
          <w:highlight w:val="none"/>
          <w:lang w:val="zh-CN"/>
        </w:rPr>
      </w:pPr>
      <w:r>
        <w:rPr>
          <w:rFonts w:hint="eastAsia" w:hAnsi="宋体" w:cs="宋体"/>
          <w:bCs/>
          <w:sz w:val="24"/>
          <w:szCs w:val="24"/>
          <w:highlight w:val="none"/>
          <w:lang w:val="zh-CN"/>
        </w:rPr>
        <w:t>（一）具有良好的商业信誉和</w:t>
      </w:r>
      <w:r>
        <w:rPr>
          <w:rFonts w:hAnsi="宋体" w:cs="宋体"/>
          <w:bCs/>
          <w:sz w:val="24"/>
          <w:szCs w:val="24"/>
          <w:highlight w:val="none"/>
          <w:lang w:val="zh-CN"/>
        </w:rPr>
        <w:t>健全的财务会计制度</w:t>
      </w:r>
      <w:r>
        <w:rPr>
          <w:rFonts w:hint="eastAsia" w:hAnsi="宋体" w:cs="宋体"/>
          <w:bCs/>
          <w:sz w:val="24"/>
          <w:szCs w:val="24"/>
          <w:highlight w:val="none"/>
          <w:lang w:val="zh-CN"/>
        </w:rPr>
        <w:t>；</w:t>
      </w:r>
    </w:p>
    <w:p>
      <w:pPr>
        <w:pStyle w:val="53"/>
        <w:adjustRightInd w:val="0"/>
        <w:spacing w:line="440" w:lineRule="exact"/>
        <w:ind w:firstLine="420" w:firstLineChars="175"/>
        <w:jc w:val="left"/>
        <w:rPr>
          <w:rFonts w:hAnsi="宋体" w:cs="宋体"/>
          <w:bCs/>
          <w:sz w:val="24"/>
          <w:szCs w:val="24"/>
          <w:highlight w:val="none"/>
          <w:lang w:val="zh-CN"/>
        </w:rPr>
      </w:pPr>
      <w:r>
        <w:rPr>
          <w:rFonts w:hint="eastAsia" w:hAnsi="宋体" w:cs="宋体"/>
          <w:bCs/>
          <w:sz w:val="24"/>
          <w:szCs w:val="24"/>
          <w:highlight w:val="none"/>
          <w:lang w:val="zh-CN"/>
        </w:rPr>
        <w:t xml:space="preserve">（二）具有履行合同所必需的设备和专业技术能力； </w:t>
      </w:r>
    </w:p>
    <w:p>
      <w:pPr>
        <w:pStyle w:val="53"/>
        <w:adjustRightInd w:val="0"/>
        <w:spacing w:line="440" w:lineRule="exact"/>
        <w:ind w:firstLine="420" w:firstLineChars="175"/>
        <w:jc w:val="left"/>
        <w:rPr>
          <w:rFonts w:hAnsi="宋体" w:cs="宋体"/>
          <w:bCs/>
          <w:sz w:val="24"/>
          <w:szCs w:val="24"/>
          <w:highlight w:val="none"/>
          <w:lang w:val="zh-CN"/>
        </w:rPr>
      </w:pPr>
      <w:r>
        <w:rPr>
          <w:rFonts w:hint="eastAsia" w:hAnsi="宋体" w:cs="宋体"/>
          <w:bCs/>
          <w:sz w:val="24"/>
          <w:szCs w:val="24"/>
          <w:highlight w:val="none"/>
          <w:lang w:val="zh-CN"/>
        </w:rPr>
        <w:t>（三）有依法缴纳税收和社会保障资金的良好记录；</w:t>
      </w:r>
    </w:p>
    <w:p>
      <w:pPr>
        <w:pStyle w:val="53"/>
        <w:adjustRightInd w:val="0"/>
        <w:spacing w:line="440" w:lineRule="exact"/>
        <w:ind w:firstLine="420" w:firstLineChars="175"/>
        <w:jc w:val="left"/>
        <w:rPr>
          <w:rFonts w:hAnsi="宋体" w:cs="宋体"/>
          <w:bCs/>
          <w:sz w:val="24"/>
          <w:szCs w:val="24"/>
          <w:highlight w:val="none"/>
          <w:lang w:val="zh-CN"/>
        </w:rPr>
      </w:pPr>
      <w:r>
        <w:rPr>
          <w:rFonts w:hint="eastAsia" w:hAnsi="宋体" w:cs="宋体"/>
          <w:bCs/>
          <w:sz w:val="24"/>
          <w:szCs w:val="24"/>
          <w:highlight w:val="none"/>
          <w:lang w:val="zh-CN"/>
        </w:rPr>
        <w:t>（四）无与本采购项目其他供应商存在单位负责人为同一人或存在直接控股、管理关系的情形；</w:t>
      </w:r>
    </w:p>
    <w:p>
      <w:pPr>
        <w:pStyle w:val="53"/>
        <w:topLinePunct/>
        <w:spacing w:line="440" w:lineRule="exact"/>
        <w:ind w:firstLine="600" w:firstLineChars="250"/>
        <w:rPr>
          <w:sz w:val="24"/>
          <w:szCs w:val="24"/>
          <w:highlight w:val="none"/>
        </w:rPr>
      </w:pPr>
      <w:r>
        <w:rPr>
          <w:rFonts w:hint="eastAsia" w:hAnsi="宋体" w:cs="宋体"/>
          <w:bCs/>
          <w:sz w:val="24"/>
          <w:szCs w:val="24"/>
          <w:highlight w:val="none"/>
          <w:lang w:val="zh-CN"/>
        </w:rPr>
        <w:t>（五）</w:t>
      </w:r>
      <w:r>
        <w:rPr>
          <w:rFonts w:hint="eastAsia"/>
          <w:sz w:val="24"/>
          <w:szCs w:val="24"/>
          <w:highlight w:val="none"/>
        </w:rPr>
        <w:t>参加本次政府采购活动(投标截止日)前三年内在经营活动中没有重大违法记录，包括</w:t>
      </w:r>
      <w:r>
        <w:rPr>
          <w:rFonts w:hint="eastAsia" w:hAnsi="宋体"/>
          <w:color w:val="000000"/>
          <w:sz w:val="24"/>
          <w:highlight w:val="none"/>
        </w:rPr>
        <w:t>没有被列入失信被执行人、重大税收违法案件当事人名单、政府采购严重违法失信行为记录名单；</w:t>
      </w:r>
      <w:r>
        <w:rPr>
          <w:sz w:val="24"/>
          <w:szCs w:val="24"/>
          <w:highlight w:val="none"/>
        </w:rPr>
        <w:t>经营活动中没有</w:t>
      </w:r>
      <w:r>
        <w:rPr>
          <w:rFonts w:hint="eastAsia"/>
          <w:sz w:val="24"/>
          <w:szCs w:val="24"/>
          <w:highlight w:val="none"/>
        </w:rPr>
        <w:t>因违法经营受到刑事处罚或责令停产停业、吊销许可证或者执照、较大数额罚款等行政处理的</w:t>
      </w:r>
      <w:r>
        <w:rPr>
          <w:sz w:val="24"/>
          <w:szCs w:val="24"/>
          <w:highlight w:val="none"/>
        </w:rPr>
        <w:t>重大违法记录</w:t>
      </w:r>
      <w:r>
        <w:rPr>
          <w:rFonts w:hint="eastAsia"/>
          <w:sz w:val="24"/>
          <w:szCs w:val="24"/>
          <w:highlight w:val="none"/>
        </w:rPr>
        <w:t>(如取消中标资格、没收保证金、规定时间内禁止在本地参与政府采购活动等)；</w:t>
      </w:r>
    </w:p>
    <w:p>
      <w:pPr>
        <w:pStyle w:val="53"/>
        <w:topLinePunct/>
        <w:spacing w:line="440" w:lineRule="exact"/>
        <w:ind w:firstLine="600" w:firstLineChars="250"/>
        <w:rPr>
          <w:sz w:val="24"/>
          <w:szCs w:val="24"/>
          <w:highlight w:val="none"/>
        </w:rPr>
      </w:pPr>
      <w:r>
        <w:rPr>
          <w:rFonts w:hint="eastAsia"/>
          <w:sz w:val="24"/>
          <w:szCs w:val="24"/>
          <w:highlight w:val="none"/>
        </w:rPr>
        <w:t>（六）</w:t>
      </w:r>
      <w:r>
        <w:rPr>
          <w:sz w:val="24"/>
          <w:szCs w:val="24"/>
          <w:highlight w:val="none"/>
        </w:rPr>
        <w:t>完全接受和满足本项目</w:t>
      </w:r>
      <w:r>
        <w:rPr>
          <w:rFonts w:hint="eastAsia"/>
          <w:sz w:val="24"/>
          <w:szCs w:val="24"/>
          <w:highlight w:val="none"/>
        </w:rPr>
        <w:t>采购</w:t>
      </w:r>
      <w:r>
        <w:rPr>
          <w:sz w:val="24"/>
          <w:szCs w:val="24"/>
          <w:highlight w:val="none"/>
        </w:rPr>
        <w:t>文件中规定的</w:t>
      </w:r>
      <w:r>
        <w:rPr>
          <w:rFonts w:hint="eastAsia"/>
          <w:sz w:val="24"/>
          <w:szCs w:val="24"/>
          <w:highlight w:val="none"/>
        </w:rPr>
        <w:t>实质性</w:t>
      </w:r>
      <w:r>
        <w:rPr>
          <w:sz w:val="24"/>
          <w:szCs w:val="24"/>
          <w:highlight w:val="none"/>
        </w:rPr>
        <w:t>要求</w:t>
      </w:r>
      <w:r>
        <w:rPr>
          <w:rFonts w:hint="eastAsia"/>
          <w:sz w:val="24"/>
          <w:szCs w:val="24"/>
          <w:highlight w:val="none"/>
        </w:rPr>
        <w:t>；</w:t>
      </w:r>
    </w:p>
    <w:p>
      <w:pPr>
        <w:pStyle w:val="53"/>
        <w:spacing w:line="440" w:lineRule="exact"/>
        <w:ind w:firstLine="600" w:firstLineChars="250"/>
        <w:jc w:val="left"/>
        <w:rPr>
          <w:rFonts w:hAnsi="宋体"/>
          <w:color w:val="000000"/>
          <w:sz w:val="24"/>
          <w:highlight w:val="none"/>
        </w:rPr>
      </w:pPr>
      <w:r>
        <w:rPr>
          <w:rFonts w:hint="eastAsia" w:hAnsi="宋体" w:cs="宋体"/>
          <w:bCs/>
          <w:sz w:val="24"/>
          <w:szCs w:val="24"/>
          <w:highlight w:val="none"/>
          <w:lang w:val="zh-CN"/>
        </w:rPr>
        <w:t>（七）</w:t>
      </w:r>
      <w:r>
        <w:rPr>
          <w:rFonts w:hint="eastAsia" w:hAnsi="宋体"/>
          <w:color w:val="000000"/>
          <w:sz w:val="24"/>
          <w:highlight w:val="none"/>
        </w:rPr>
        <w:t>投标文件中提供的任何资料和技术、服务、商务等响应承诺情况都是真实的、有效的、合法的；</w:t>
      </w:r>
    </w:p>
    <w:p>
      <w:pPr>
        <w:pStyle w:val="53"/>
        <w:spacing w:line="440" w:lineRule="exact"/>
        <w:ind w:firstLine="600" w:firstLineChars="250"/>
        <w:rPr>
          <w:rFonts w:hAnsi="宋体"/>
          <w:color w:val="000000"/>
          <w:sz w:val="24"/>
          <w:highlight w:val="none"/>
        </w:rPr>
      </w:pPr>
      <w:r>
        <w:rPr>
          <w:rFonts w:hint="eastAsia" w:hAnsi="宋体" w:cs="宋体"/>
          <w:bCs/>
          <w:sz w:val="24"/>
          <w:szCs w:val="24"/>
          <w:highlight w:val="none"/>
          <w:lang w:val="zh-CN"/>
        </w:rPr>
        <w:t>（八）参加本次政</w:t>
      </w:r>
      <w:r>
        <w:rPr>
          <w:rFonts w:hint="eastAsia" w:hAnsi="宋体"/>
          <w:color w:val="000000"/>
          <w:sz w:val="24"/>
          <w:highlight w:val="none"/>
        </w:rPr>
        <w:t>府采购活动(投标截止日)前5年我公司及其现任法定代表人（主要负责人）没有行贿犯罪记录；</w:t>
      </w:r>
    </w:p>
    <w:p>
      <w:pPr>
        <w:pStyle w:val="53"/>
        <w:spacing w:line="440" w:lineRule="exact"/>
        <w:ind w:firstLine="480" w:firstLineChars="200"/>
        <w:jc w:val="left"/>
        <w:rPr>
          <w:rFonts w:hAnsi="宋体" w:cs="宋体"/>
          <w:bCs/>
          <w:sz w:val="24"/>
          <w:szCs w:val="24"/>
          <w:highlight w:val="none"/>
          <w:lang w:val="zh-CN"/>
        </w:rPr>
      </w:pPr>
      <w:r>
        <w:rPr>
          <w:rFonts w:hint="eastAsia" w:hAnsi="宋体"/>
          <w:color w:val="000000"/>
          <w:sz w:val="24"/>
          <w:highlight w:val="none"/>
        </w:rPr>
        <w:t>本公司对上述承诺的内容事项真实性负责。如经查实上述承诺的内容事项存在虚假，我公司愿意接受以提供虚假材料谋取中标的法律责任。</w:t>
      </w:r>
    </w:p>
    <w:p>
      <w:pPr>
        <w:topLinePunct/>
        <w:spacing w:line="440" w:lineRule="exact"/>
        <w:rPr>
          <w:rFonts w:ascii="宋体" w:hAnsi="宋体"/>
          <w:sz w:val="24"/>
          <w:highlight w:val="none"/>
        </w:rPr>
      </w:pPr>
    </w:p>
    <w:p>
      <w:pPr>
        <w:topLinePunct/>
        <w:spacing w:line="440" w:lineRule="exact"/>
        <w:rPr>
          <w:rFonts w:ascii="宋体" w:hAnsi="宋体"/>
          <w:sz w:val="24"/>
          <w:highlight w:val="none"/>
        </w:rPr>
      </w:pPr>
      <w:r>
        <w:rPr>
          <w:rFonts w:hint="eastAsia" w:ascii="宋体" w:hAnsi="宋体"/>
          <w:b/>
          <w:bCs/>
          <w:szCs w:val="21"/>
          <w:highlight w:val="none"/>
        </w:rPr>
        <w:t>注：投标人作出以上承诺即视为满足该条件，无需另行提供证明材料。</w:t>
      </w:r>
    </w:p>
    <w:p>
      <w:pPr>
        <w:topLinePunct/>
        <w:spacing w:line="440" w:lineRule="exact"/>
        <w:rPr>
          <w:rFonts w:ascii="宋体" w:hAnsi="宋体"/>
          <w:sz w:val="24"/>
          <w:highlight w:val="none"/>
        </w:rPr>
      </w:pPr>
    </w:p>
    <w:p>
      <w:pPr>
        <w:topLinePunct/>
        <w:spacing w:line="440" w:lineRule="exact"/>
        <w:rPr>
          <w:rFonts w:ascii="宋体" w:hAnsi="宋体"/>
          <w:sz w:val="24"/>
          <w:highlight w:val="none"/>
        </w:rPr>
      </w:pPr>
      <w:r>
        <w:rPr>
          <w:rFonts w:hint="eastAsia" w:ascii="宋体" w:hAnsi="宋体"/>
          <w:sz w:val="24"/>
          <w:highlight w:val="none"/>
        </w:rPr>
        <w:t>承诺人名称(盖章)：</w:t>
      </w:r>
    </w:p>
    <w:p>
      <w:pPr>
        <w:topLinePunct/>
        <w:spacing w:line="440" w:lineRule="exact"/>
        <w:rPr>
          <w:rFonts w:ascii="宋体" w:hAnsi="宋体"/>
          <w:sz w:val="24"/>
          <w:highlight w:val="none"/>
        </w:rPr>
      </w:pPr>
    </w:p>
    <w:p>
      <w:pPr>
        <w:topLinePunct/>
        <w:spacing w:line="440" w:lineRule="exact"/>
        <w:rPr>
          <w:rFonts w:ascii="宋体" w:hAnsi="宋体"/>
          <w:sz w:val="24"/>
          <w:highlight w:val="none"/>
        </w:rPr>
      </w:pPr>
      <w:r>
        <w:rPr>
          <w:rFonts w:hint="eastAsia" w:ascii="宋体" w:hAnsi="宋体"/>
          <w:sz w:val="24"/>
          <w:highlight w:val="none"/>
        </w:rPr>
        <w:t>法定代表人（负责人）或被授权人(签字或个人名章)：</w:t>
      </w:r>
    </w:p>
    <w:p>
      <w:pPr>
        <w:topLinePunct/>
        <w:spacing w:line="440" w:lineRule="exact"/>
        <w:rPr>
          <w:rFonts w:ascii="宋体" w:hAnsi="宋体"/>
          <w:sz w:val="24"/>
          <w:highlight w:val="none"/>
        </w:rPr>
      </w:pPr>
    </w:p>
    <w:p>
      <w:pPr>
        <w:topLinePunct/>
        <w:spacing w:line="440" w:lineRule="exact"/>
        <w:rPr>
          <w:rFonts w:ascii="宋体" w:hAnsi="宋体"/>
          <w:color w:val="FF0000"/>
          <w:sz w:val="24"/>
          <w:highlight w:val="none"/>
        </w:rPr>
      </w:pPr>
      <w:r>
        <w:rPr>
          <w:rFonts w:hint="eastAsia" w:ascii="宋体" w:hAnsi="宋体"/>
          <w:sz w:val="24"/>
          <w:highlight w:val="none"/>
        </w:rPr>
        <w:t>日期：    年    月    日</w:t>
      </w:r>
      <w:r>
        <w:rPr>
          <w:rFonts w:ascii="宋体" w:hAnsi="宋体"/>
          <w:color w:val="FF0000"/>
          <w:sz w:val="24"/>
          <w:highlight w:val="none"/>
        </w:rPr>
        <w:br w:type="page"/>
      </w:r>
    </w:p>
    <w:p>
      <w:pPr>
        <w:numPr>
          <w:ilvl w:val="0"/>
          <w:numId w:val="3"/>
        </w:numPr>
        <w:jc w:val="center"/>
      </w:pPr>
      <w:r>
        <w:rPr>
          <w:rFonts w:hint="eastAsia" w:ascii="宋体" w:hAnsi="宋体" w:cs="宋体"/>
          <w:b/>
          <w:sz w:val="32"/>
          <w:highlight w:val="none"/>
        </w:rPr>
        <w:t>报价明细表</w:t>
      </w:r>
    </w:p>
    <w:p>
      <w:pPr>
        <w:wordWrap w:val="0"/>
        <w:topLinePunct/>
        <w:spacing w:line="400" w:lineRule="exact"/>
        <w:rPr>
          <w:rFonts w:hint="default" w:asciiTheme="minorEastAsia" w:hAnsiTheme="minorEastAsia" w:eastAsiaTheme="minorEastAsia"/>
          <w:b/>
          <w:bCs/>
          <w:sz w:val="24"/>
          <w:szCs w:val="24"/>
          <w:highlight w:val="none"/>
          <w:lang w:val="en-US" w:eastAsia="zh-CN"/>
        </w:rPr>
      </w:pPr>
      <w:r>
        <w:rPr>
          <w:rFonts w:hint="eastAsia" w:asciiTheme="minorEastAsia" w:hAnsiTheme="minorEastAsia" w:eastAsiaTheme="minorEastAsia"/>
          <w:b/>
          <w:bCs/>
          <w:sz w:val="24"/>
          <w:szCs w:val="24"/>
          <w:highlight w:val="none"/>
          <w:lang w:val="en-US" w:eastAsia="zh-CN"/>
        </w:rPr>
        <w:t>表1</w:t>
      </w:r>
    </w:p>
    <w:tbl>
      <w:tblPr>
        <w:tblStyle w:val="19"/>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5"/>
        <w:gridCol w:w="3477"/>
        <w:gridCol w:w="1617"/>
        <w:gridCol w:w="849"/>
        <w:gridCol w:w="966"/>
        <w:gridCol w:w="9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4" w:hRule="exact"/>
          <w:jc w:val="center"/>
        </w:trPr>
        <w:tc>
          <w:tcPr>
            <w:tcW w:w="635" w:type="dxa"/>
            <w:vAlign w:val="center"/>
          </w:tcPr>
          <w:p>
            <w:pPr>
              <w:snapToGrid w:val="0"/>
              <w:spacing w:line="400" w:lineRule="exact"/>
              <w:jc w:val="center"/>
              <w:rPr>
                <w:rFonts w:cs="宋体" w:asciiTheme="minorEastAsia" w:hAnsiTheme="minorEastAsia" w:eastAsiaTheme="minorEastAsia"/>
                <w:b/>
                <w:bCs/>
                <w:sz w:val="24"/>
                <w:szCs w:val="24"/>
                <w:highlight w:val="none"/>
              </w:rPr>
            </w:pPr>
            <w:r>
              <w:rPr>
                <w:rFonts w:hint="eastAsia" w:cs="宋体" w:asciiTheme="minorEastAsia" w:hAnsiTheme="minorEastAsia" w:eastAsiaTheme="minorEastAsia"/>
                <w:b/>
                <w:bCs/>
                <w:sz w:val="24"/>
                <w:szCs w:val="24"/>
                <w:highlight w:val="none"/>
              </w:rPr>
              <w:t>序号</w:t>
            </w:r>
          </w:p>
        </w:tc>
        <w:tc>
          <w:tcPr>
            <w:tcW w:w="3477" w:type="dxa"/>
            <w:vAlign w:val="center"/>
          </w:tcPr>
          <w:p>
            <w:pPr>
              <w:snapToGrid w:val="0"/>
              <w:spacing w:line="400" w:lineRule="exact"/>
              <w:jc w:val="center"/>
              <w:rPr>
                <w:rFonts w:cs="宋体" w:asciiTheme="minorEastAsia" w:hAnsiTheme="minorEastAsia" w:eastAsiaTheme="minorEastAsia"/>
                <w:b/>
                <w:bCs/>
                <w:sz w:val="24"/>
                <w:szCs w:val="24"/>
                <w:highlight w:val="none"/>
              </w:rPr>
            </w:pPr>
            <w:r>
              <w:rPr>
                <w:rFonts w:hint="eastAsia" w:cs="宋体" w:asciiTheme="minorEastAsia" w:hAnsiTheme="minorEastAsia" w:eastAsiaTheme="minorEastAsia"/>
                <w:b/>
                <w:bCs/>
                <w:sz w:val="24"/>
                <w:szCs w:val="24"/>
                <w:highlight w:val="none"/>
              </w:rPr>
              <w:t>服务名称</w:t>
            </w:r>
          </w:p>
        </w:tc>
        <w:tc>
          <w:tcPr>
            <w:tcW w:w="1617" w:type="dxa"/>
            <w:vAlign w:val="center"/>
          </w:tcPr>
          <w:p>
            <w:pPr>
              <w:snapToGrid w:val="0"/>
              <w:spacing w:line="400" w:lineRule="exact"/>
              <w:jc w:val="center"/>
              <w:rPr>
                <w:rFonts w:cs="宋体" w:asciiTheme="minorEastAsia" w:hAnsiTheme="minorEastAsia" w:eastAsiaTheme="minorEastAsia"/>
                <w:b/>
                <w:bCs/>
                <w:sz w:val="24"/>
                <w:szCs w:val="24"/>
                <w:highlight w:val="none"/>
              </w:rPr>
            </w:pPr>
            <w:r>
              <w:rPr>
                <w:rFonts w:hint="eastAsia" w:cs="宋体" w:asciiTheme="minorEastAsia" w:hAnsiTheme="minorEastAsia" w:eastAsiaTheme="minorEastAsia"/>
                <w:b/>
                <w:bCs/>
                <w:sz w:val="24"/>
                <w:szCs w:val="24"/>
                <w:highlight w:val="none"/>
              </w:rPr>
              <w:t>单位</w:t>
            </w:r>
          </w:p>
        </w:tc>
        <w:tc>
          <w:tcPr>
            <w:tcW w:w="849" w:type="dxa"/>
            <w:vAlign w:val="center"/>
          </w:tcPr>
          <w:p>
            <w:pPr>
              <w:snapToGrid w:val="0"/>
              <w:spacing w:line="400" w:lineRule="exact"/>
              <w:jc w:val="center"/>
              <w:rPr>
                <w:rFonts w:cs="宋体" w:asciiTheme="minorEastAsia" w:hAnsiTheme="minorEastAsia" w:eastAsiaTheme="minorEastAsia"/>
                <w:b/>
                <w:bCs/>
                <w:sz w:val="24"/>
                <w:szCs w:val="24"/>
                <w:highlight w:val="none"/>
              </w:rPr>
            </w:pPr>
            <w:r>
              <w:rPr>
                <w:rFonts w:hint="eastAsia" w:cs="宋体" w:asciiTheme="minorEastAsia" w:hAnsiTheme="minorEastAsia" w:eastAsiaTheme="minorEastAsia"/>
                <w:b/>
                <w:bCs/>
                <w:sz w:val="24"/>
                <w:szCs w:val="24"/>
                <w:highlight w:val="none"/>
              </w:rPr>
              <w:t>单价</w:t>
            </w:r>
          </w:p>
          <w:p>
            <w:pPr>
              <w:snapToGrid w:val="0"/>
              <w:spacing w:line="400" w:lineRule="exact"/>
              <w:jc w:val="center"/>
              <w:rPr>
                <w:rFonts w:cs="宋体" w:asciiTheme="minorEastAsia" w:hAnsiTheme="minorEastAsia" w:eastAsiaTheme="minorEastAsia"/>
                <w:b/>
                <w:bCs/>
                <w:sz w:val="24"/>
                <w:szCs w:val="24"/>
                <w:highlight w:val="none"/>
              </w:rPr>
            </w:pPr>
            <w:r>
              <w:rPr>
                <w:rFonts w:hint="eastAsia" w:cs="宋体" w:asciiTheme="minorEastAsia" w:hAnsiTheme="minorEastAsia" w:eastAsiaTheme="minorEastAsia"/>
                <w:b/>
                <w:bCs/>
                <w:color w:val="000000"/>
                <w:sz w:val="24"/>
                <w:szCs w:val="24"/>
                <w:highlight w:val="none"/>
              </w:rPr>
              <w:t>（元）</w:t>
            </w:r>
          </w:p>
        </w:tc>
        <w:tc>
          <w:tcPr>
            <w:tcW w:w="966" w:type="dxa"/>
            <w:vAlign w:val="center"/>
          </w:tcPr>
          <w:p>
            <w:pPr>
              <w:snapToGrid w:val="0"/>
              <w:spacing w:line="400" w:lineRule="exact"/>
              <w:jc w:val="center"/>
              <w:rPr>
                <w:rFonts w:cs="宋体" w:asciiTheme="minorEastAsia" w:hAnsiTheme="minorEastAsia" w:eastAsiaTheme="minorEastAsia"/>
                <w:b/>
                <w:bCs/>
                <w:sz w:val="24"/>
                <w:szCs w:val="24"/>
                <w:highlight w:val="none"/>
              </w:rPr>
            </w:pPr>
            <w:r>
              <w:rPr>
                <w:rFonts w:hint="eastAsia" w:cs="宋体" w:asciiTheme="minorEastAsia" w:hAnsiTheme="minorEastAsia" w:eastAsiaTheme="minorEastAsia"/>
                <w:b/>
                <w:bCs/>
                <w:sz w:val="24"/>
                <w:szCs w:val="24"/>
                <w:highlight w:val="none"/>
              </w:rPr>
              <w:t>金额</w:t>
            </w:r>
          </w:p>
          <w:p>
            <w:pPr>
              <w:snapToGrid w:val="0"/>
              <w:spacing w:line="400" w:lineRule="exact"/>
              <w:jc w:val="center"/>
              <w:rPr>
                <w:rFonts w:cs="宋体" w:asciiTheme="minorEastAsia" w:hAnsiTheme="minorEastAsia" w:eastAsiaTheme="minorEastAsia"/>
                <w:bCs/>
                <w:sz w:val="24"/>
                <w:szCs w:val="24"/>
                <w:highlight w:val="none"/>
              </w:rPr>
            </w:pPr>
            <w:r>
              <w:rPr>
                <w:rFonts w:hint="eastAsia" w:cs="宋体" w:asciiTheme="minorEastAsia" w:hAnsiTheme="minorEastAsia" w:eastAsiaTheme="minorEastAsia"/>
                <w:b/>
                <w:bCs/>
                <w:color w:val="000000"/>
                <w:sz w:val="24"/>
                <w:szCs w:val="24"/>
                <w:highlight w:val="none"/>
              </w:rPr>
              <w:t>（元）</w:t>
            </w:r>
          </w:p>
        </w:tc>
        <w:tc>
          <w:tcPr>
            <w:tcW w:w="978" w:type="dxa"/>
            <w:vAlign w:val="center"/>
          </w:tcPr>
          <w:p>
            <w:pPr>
              <w:snapToGrid w:val="0"/>
              <w:spacing w:line="400" w:lineRule="exact"/>
              <w:ind w:firstLine="120" w:firstLineChars="50"/>
              <w:jc w:val="center"/>
              <w:rPr>
                <w:rFonts w:cs="宋体" w:asciiTheme="minorEastAsia" w:hAnsiTheme="minorEastAsia" w:eastAsiaTheme="minorEastAsia"/>
                <w:b/>
                <w:bCs/>
                <w:sz w:val="24"/>
                <w:szCs w:val="24"/>
                <w:highlight w:val="none"/>
              </w:rPr>
            </w:pPr>
            <w:r>
              <w:rPr>
                <w:rFonts w:hint="eastAsia" w:cs="宋体" w:asciiTheme="minorEastAsia" w:hAnsiTheme="minorEastAsia" w:eastAsiaTheme="minorEastAsia"/>
                <w:b/>
                <w:bCs/>
                <w:sz w:val="24"/>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3" w:hRule="atLeast"/>
          <w:jc w:val="center"/>
        </w:trPr>
        <w:tc>
          <w:tcPr>
            <w:tcW w:w="635" w:type="dxa"/>
          </w:tcPr>
          <w:p>
            <w:pPr>
              <w:snapToGrid w:val="0"/>
              <w:spacing w:line="400" w:lineRule="exact"/>
              <w:jc w:val="center"/>
              <w:rPr>
                <w:rFonts w:cs="宋体" w:asciiTheme="minorEastAsia" w:hAnsiTheme="minorEastAsia" w:eastAsiaTheme="minorEastAsia"/>
                <w:sz w:val="24"/>
                <w:szCs w:val="24"/>
                <w:highlight w:val="none"/>
              </w:rPr>
            </w:pPr>
          </w:p>
        </w:tc>
        <w:tc>
          <w:tcPr>
            <w:tcW w:w="3477" w:type="dxa"/>
            <w:vAlign w:val="center"/>
          </w:tcPr>
          <w:p>
            <w:pPr>
              <w:snapToGrid w:val="0"/>
              <w:spacing w:line="400" w:lineRule="exact"/>
              <w:jc w:val="center"/>
              <w:rPr>
                <w:rFonts w:cs="宋体" w:asciiTheme="minorEastAsia" w:hAnsiTheme="minorEastAsia" w:eastAsiaTheme="minorEastAsia"/>
                <w:sz w:val="24"/>
                <w:szCs w:val="24"/>
                <w:highlight w:val="none"/>
              </w:rPr>
            </w:pPr>
          </w:p>
        </w:tc>
        <w:tc>
          <w:tcPr>
            <w:tcW w:w="1617" w:type="dxa"/>
            <w:vAlign w:val="center"/>
          </w:tcPr>
          <w:p>
            <w:pPr>
              <w:snapToGrid w:val="0"/>
              <w:spacing w:line="400" w:lineRule="exact"/>
              <w:jc w:val="center"/>
              <w:rPr>
                <w:rFonts w:cs="宋体" w:asciiTheme="minorEastAsia" w:hAnsiTheme="minorEastAsia" w:eastAsiaTheme="minorEastAsia"/>
                <w:sz w:val="24"/>
                <w:szCs w:val="24"/>
                <w:highlight w:val="none"/>
              </w:rPr>
            </w:pPr>
          </w:p>
        </w:tc>
        <w:tc>
          <w:tcPr>
            <w:tcW w:w="849" w:type="dxa"/>
            <w:vAlign w:val="center"/>
          </w:tcPr>
          <w:p>
            <w:pPr>
              <w:snapToGrid w:val="0"/>
              <w:spacing w:line="400" w:lineRule="exact"/>
              <w:jc w:val="center"/>
              <w:rPr>
                <w:rFonts w:cs="宋体" w:asciiTheme="minorEastAsia" w:hAnsiTheme="minorEastAsia" w:eastAsiaTheme="minorEastAsia"/>
                <w:sz w:val="24"/>
                <w:szCs w:val="24"/>
                <w:highlight w:val="none"/>
              </w:rPr>
            </w:pPr>
          </w:p>
        </w:tc>
        <w:tc>
          <w:tcPr>
            <w:tcW w:w="966" w:type="dxa"/>
            <w:vAlign w:val="center"/>
          </w:tcPr>
          <w:p>
            <w:pPr>
              <w:snapToGrid w:val="0"/>
              <w:spacing w:line="400" w:lineRule="exact"/>
              <w:jc w:val="center"/>
              <w:rPr>
                <w:rFonts w:cs="宋体" w:asciiTheme="minorEastAsia" w:hAnsiTheme="minorEastAsia" w:eastAsiaTheme="minorEastAsia"/>
                <w:sz w:val="24"/>
                <w:szCs w:val="24"/>
                <w:highlight w:val="none"/>
              </w:rPr>
            </w:pPr>
          </w:p>
        </w:tc>
        <w:tc>
          <w:tcPr>
            <w:tcW w:w="978" w:type="dxa"/>
            <w:vAlign w:val="center"/>
          </w:tcPr>
          <w:p>
            <w:pPr>
              <w:snapToGrid w:val="0"/>
              <w:spacing w:line="400" w:lineRule="exact"/>
              <w:jc w:val="center"/>
              <w:rPr>
                <w:rFonts w:cs="宋体" w:asciiTheme="minorEastAsia" w:hAnsiTheme="minorEastAsia" w:eastAsiaTheme="minorEastAsia"/>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3" w:hRule="atLeast"/>
          <w:jc w:val="center"/>
        </w:trPr>
        <w:tc>
          <w:tcPr>
            <w:tcW w:w="635" w:type="dxa"/>
          </w:tcPr>
          <w:p>
            <w:pPr>
              <w:snapToGrid w:val="0"/>
              <w:spacing w:line="400" w:lineRule="exact"/>
              <w:jc w:val="center"/>
              <w:rPr>
                <w:rFonts w:cs="宋体" w:asciiTheme="minorEastAsia" w:hAnsiTheme="minorEastAsia" w:eastAsiaTheme="minorEastAsia"/>
                <w:sz w:val="24"/>
                <w:szCs w:val="24"/>
                <w:highlight w:val="none"/>
              </w:rPr>
            </w:pPr>
          </w:p>
        </w:tc>
        <w:tc>
          <w:tcPr>
            <w:tcW w:w="3477" w:type="dxa"/>
            <w:vAlign w:val="center"/>
          </w:tcPr>
          <w:p>
            <w:pPr>
              <w:snapToGrid w:val="0"/>
              <w:spacing w:line="400" w:lineRule="exact"/>
              <w:jc w:val="center"/>
              <w:rPr>
                <w:rFonts w:cs="宋体" w:asciiTheme="minorEastAsia" w:hAnsiTheme="minorEastAsia" w:eastAsiaTheme="minorEastAsia"/>
                <w:sz w:val="24"/>
                <w:szCs w:val="24"/>
                <w:highlight w:val="none"/>
              </w:rPr>
            </w:pPr>
          </w:p>
        </w:tc>
        <w:tc>
          <w:tcPr>
            <w:tcW w:w="1617" w:type="dxa"/>
            <w:vAlign w:val="center"/>
          </w:tcPr>
          <w:p>
            <w:pPr>
              <w:snapToGrid w:val="0"/>
              <w:spacing w:line="400" w:lineRule="exact"/>
              <w:jc w:val="center"/>
              <w:rPr>
                <w:rFonts w:cs="宋体" w:asciiTheme="minorEastAsia" w:hAnsiTheme="minorEastAsia" w:eastAsiaTheme="minorEastAsia"/>
                <w:sz w:val="24"/>
                <w:szCs w:val="24"/>
                <w:highlight w:val="none"/>
              </w:rPr>
            </w:pPr>
          </w:p>
        </w:tc>
        <w:tc>
          <w:tcPr>
            <w:tcW w:w="849" w:type="dxa"/>
            <w:vAlign w:val="center"/>
          </w:tcPr>
          <w:p>
            <w:pPr>
              <w:snapToGrid w:val="0"/>
              <w:spacing w:line="400" w:lineRule="exact"/>
              <w:jc w:val="center"/>
              <w:rPr>
                <w:rFonts w:cs="宋体" w:asciiTheme="minorEastAsia" w:hAnsiTheme="minorEastAsia" w:eastAsiaTheme="minorEastAsia"/>
                <w:sz w:val="24"/>
                <w:szCs w:val="24"/>
                <w:highlight w:val="none"/>
              </w:rPr>
            </w:pPr>
          </w:p>
        </w:tc>
        <w:tc>
          <w:tcPr>
            <w:tcW w:w="966" w:type="dxa"/>
            <w:vAlign w:val="center"/>
          </w:tcPr>
          <w:p>
            <w:pPr>
              <w:snapToGrid w:val="0"/>
              <w:spacing w:line="400" w:lineRule="exact"/>
              <w:jc w:val="center"/>
              <w:rPr>
                <w:rFonts w:cs="宋体" w:asciiTheme="minorEastAsia" w:hAnsiTheme="minorEastAsia" w:eastAsiaTheme="minorEastAsia"/>
                <w:sz w:val="24"/>
                <w:szCs w:val="24"/>
                <w:highlight w:val="none"/>
              </w:rPr>
            </w:pPr>
          </w:p>
        </w:tc>
        <w:tc>
          <w:tcPr>
            <w:tcW w:w="978" w:type="dxa"/>
            <w:vAlign w:val="center"/>
          </w:tcPr>
          <w:p>
            <w:pPr>
              <w:snapToGrid w:val="0"/>
              <w:spacing w:line="400" w:lineRule="exact"/>
              <w:jc w:val="center"/>
              <w:rPr>
                <w:rFonts w:cs="宋体" w:asciiTheme="minorEastAsia" w:hAnsiTheme="minorEastAsia" w:eastAsiaTheme="minorEastAsia"/>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3" w:hRule="atLeast"/>
          <w:jc w:val="center"/>
        </w:trPr>
        <w:tc>
          <w:tcPr>
            <w:tcW w:w="635" w:type="dxa"/>
          </w:tcPr>
          <w:p>
            <w:pPr>
              <w:snapToGrid w:val="0"/>
              <w:spacing w:line="400" w:lineRule="exact"/>
              <w:jc w:val="center"/>
              <w:rPr>
                <w:rFonts w:cs="宋体" w:asciiTheme="minorEastAsia" w:hAnsiTheme="minorEastAsia" w:eastAsiaTheme="minorEastAsia"/>
                <w:sz w:val="24"/>
                <w:szCs w:val="24"/>
                <w:highlight w:val="none"/>
              </w:rPr>
            </w:pPr>
          </w:p>
        </w:tc>
        <w:tc>
          <w:tcPr>
            <w:tcW w:w="3477" w:type="dxa"/>
            <w:vAlign w:val="center"/>
          </w:tcPr>
          <w:p>
            <w:pPr>
              <w:snapToGrid w:val="0"/>
              <w:spacing w:line="400" w:lineRule="exact"/>
              <w:jc w:val="center"/>
              <w:rPr>
                <w:rFonts w:cs="宋体" w:asciiTheme="minorEastAsia" w:hAnsiTheme="minorEastAsia" w:eastAsiaTheme="minorEastAsia"/>
                <w:sz w:val="24"/>
                <w:szCs w:val="24"/>
                <w:highlight w:val="none"/>
              </w:rPr>
            </w:pPr>
          </w:p>
        </w:tc>
        <w:tc>
          <w:tcPr>
            <w:tcW w:w="1617" w:type="dxa"/>
            <w:vAlign w:val="center"/>
          </w:tcPr>
          <w:p>
            <w:pPr>
              <w:snapToGrid w:val="0"/>
              <w:spacing w:line="400" w:lineRule="exact"/>
              <w:jc w:val="center"/>
              <w:rPr>
                <w:rFonts w:cs="宋体" w:asciiTheme="minorEastAsia" w:hAnsiTheme="minorEastAsia" w:eastAsiaTheme="minorEastAsia"/>
                <w:sz w:val="24"/>
                <w:szCs w:val="24"/>
                <w:highlight w:val="none"/>
              </w:rPr>
            </w:pPr>
          </w:p>
        </w:tc>
        <w:tc>
          <w:tcPr>
            <w:tcW w:w="849" w:type="dxa"/>
            <w:vAlign w:val="center"/>
          </w:tcPr>
          <w:p>
            <w:pPr>
              <w:snapToGrid w:val="0"/>
              <w:spacing w:line="400" w:lineRule="exact"/>
              <w:jc w:val="center"/>
              <w:rPr>
                <w:rFonts w:cs="宋体" w:asciiTheme="minorEastAsia" w:hAnsiTheme="minorEastAsia" w:eastAsiaTheme="minorEastAsia"/>
                <w:sz w:val="24"/>
                <w:szCs w:val="24"/>
                <w:highlight w:val="none"/>
              </w:rPr>
            </w:pPr>
          </w:p>
        </w:tc>
        <w:tc>
          <w:tcPr>
            <w:tcW w:w="966" w:type="dxa"/>
            <w:vAlign w:val="center"/>
          </w:tcPr>
          <w:p>
            <w:pPr>
              <w:snapToGrid w:val="0"/>
              <w:spacing w:line="400" w:lineRule="exact"/>
              <w:jc w:val="center"/>
              <w:rPr>
                <w:rFonts w:cs="宋体" w:asciiTheme="minorEastAsia" w:hAnsiTheme="minorEastAsia" w:eastAsiaTheme="minorEastAsia"/>
                <w:sz w:val="24"/>
                <w:szCs w:val="24"/>
                <w:highlight w:val="none"/>
              </w:rPr>
            </w:pPr>
          </w:p>
        </w:tc>
        <w:tc>
          <w:tcPr>
            <w:tcW w:w="978" w:type="dxa"/>
            <w:vAlign w:val="center"/>
          </w:tcPr>
          <w:p>
            <w:pPr>
              <w:snapToGrid w:val="0"/>
              <w:spacing w:line="400" w:lineRule="exact"/>
              <w:jc w:val="center"/>
              <w:rPr>
                <w:rFonts w:cs="宋体" w:asciiTheme="minorEastAsia" w:hAnsiTheme="minorEastAsia" w:eastAsiaTheme="minorEastAsia"/>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3" w:hRule="atLeast"/>
          <w:jc w:val="center"/>
        </w:trPr>
        <w:tc>
          <w:tcPr>
            <w:tcW w:w="635" w:type="dxa"/>
          </w:tcPr>
          <w:p>
            <w:pPr>
              <w:snapToGrid w:val="0"/>
              <w:spacing w:line="400" w:lineRule="exact"/>
              <w:jc w:val="center"/>
              <w:rPr>
                <w:rFonts w:cs="宋体" w:asciiTheme="minorEastAsia" w:hAnsiTheme="minorEastAsia" w:eastAsiaTheme="minorEastAsia"/>
                <w:sz w:val="24"/>
                <w:szCs w:val="24"/>
                <w:highlight w:val="none"/>
              </w:rPr>
            </w:pPr>
          </w:p>
        </w:tc>
        <w:tc>
          <w:tcPr>
            <w:tcW w:w="3477" w:type="dxa"/>
            <w:vAlign w:val="center"/>
          </w:tcPr>
          <w:p>
            <w:pPr>
              <w:snapToGrid w:val="0"/>
              <w:spacing w:line="400" w:lineRule="exact"/>
              <w:jc w:val="center"/>
              <w:rPr>
                <w:rFonts w:cs="宋体" w:asciiTheme="minorEastAsia" w:hAnsiTheme="minorEastAsia" w:eastAsiaTheme="minorEastAsia"/>
                <w:sz w:val="24"/>
                <w:szCs w:val="24"/>
                <w:highlight w:val="none"/>
              </w:rPr>
            </w:pPr>
          </w:p>
        </w:tc>
        <w:tc>
          <w:tcPr>
            <w:tcW w:w="1617" w:type="dxa"/>
            <w:vAlign w:val="center"/>
          </w:tcPr>
          <w:p>
            <w:pPr>
              <w:snapToGrid w:val="0"/>
              <w:spacing w:line="400" w:lineRule="exact"/>
              <w:jc w:val="center"/>
              <w:rPr>
                <w:rFonts w:cs="宋体" w:asciiTheme="minorEastAsia" w:hAnsiTheme="minorEastAsia" w:eastAsiaTheme="minorEastAsia"/>
                <w:sz w:val="24"/>
                <w:szCs w:val="24"/>
                <w:highlight w:val="none"/>
              </w:rPr>
            </w:pPr>
          </w:p>
        </w:tc>
        <w:tc>
          <w:tcPr>
            <w:tcW w:w="849" w:type="dxa"/>
            <w:vAlign w:val="center"/>
          </w:tcPr>
          <w:p>
            <w:pPr>
              <w:snapToGrid w:val="0"/>
              <w:spacing w:line="400" w:lineRule="exact"/>
              <w:jc w:val="center"/>
              <w:rPr>
                <w:rFonts w:cs="宋体" w:asciiTheme="minorEastAsia" w:hAnsiTheme="minorEastAsia" w:eastAsiaTheme="minorEastAsia"/>
                <w:sz w:val="24"/>
                <w:szCs w:val="24"/>
                <w:highlight w:val="none"/>
              </w:rPr>
            </w:pPr>
          </w:p>
        </w:tc>
        <w:tc>
          <w:tcPr>
            <w:tcW w:w="966" w:type="dxa"/>
            <w:vAlign w:val="center"/>
          </w:tcPr>
          <w:p>
            <w:pPr>
              <w:snapToGrid w:val="0"/>
              <w:spacing w:line="400" w:lineRule="exact"/>
              <w:jc w:val="center"/>
              <w:rPr>
                <w:rFonts w:cs="宋体" w:asciiTheme="minorEastAsia" w:hAnsiTheme="minorEastAsia" w:eastAsiaTheme="minorEastAsia"/>
                <w:sz w:val="24"/>
                <w:szCs w:val="24"/>
                <w:highlight w:val="none"/>
              </w:rPr>
            </w:pPr>
          </w:p>
        </w:tc>
        <w:tc>
          <w:tcPr>
            <w:tcW w:w="978" w:type="dxa"/>
            <w:vAlign w:val="center"/>
          </w:tcPr>
          <w:p>
            <w:pPr>
              <w:snapToGrid w:val="0"/>
              <w:spacing w:line="400" w:lineRule="exact"/>
              <w:jc w:val="center"/>
              <w:rPr>
                <w:rFonts w:cs="宋体" w:asciiTheme="minorEastAsia" w:hAnsiTheme="minorEastAsia" w:eastAsiaTheme="minorEastAsia"/>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3" w:hRule="atLeast"/>
          <w:jc w:val="center"/>
        </w:trPr>
        <w:tc>
          <w:tcPr>
            <w:tcW w:w="635" w:type="dxa"/>
          </w:tcPr>
          <w:p>
            <w:pPr>
              <w:snapToGrid w:val="0"/>
              <w:spacing w:line="400" w:lineRule="exact"/>
              <w:jc w:val="center"/>
              <w:rPr>
                <w:rFonts w:cs="宋体" w:asciiTheme="minorEastAsia" w:hAnsiTheme="minorEastAsia" w:eastAsiaTheme="minorEastAsia"/>
                <w:sz w:val="24"/>
                <w:szCs w:val="24"/>
                <w:highlight w:val="none"/>
              </w:rPr>
            </w:pPr>
          </w:p>
        </w:tc>
        <w:tc>
          <w:tcPr>
            <w:tcW w:w="3477" w:type="dxa"/>
            <w:vAlign w:val="center"/>
          </w:tcPr>
          <w:p>
            <w:pPr>
              <w:snapToGrid w:val="0"/>
              <w:spacing w:line="400" w:lineRule="exact"/>
              <w:jc w:val="center"/>
              <w:rPr>
                <w:rFonts w:cs="宋体" w:asciiTheme="minorEastAsia" w:hAnsiTheme="minorEastAsia" w:eastAsiaTheme="minorEastAsia"/>
                <w:sz w:val="24"/>
                <w:szCs w:val="24"/>
                <w:highlight w:val="none"/>
              </w:rPr>
            </w:pPr>
          </w:p>
        </w:tc>
        <w:tc>
          <w:tcPr>
            <w:tcW w:w="1617" w:type="dxa"/>
            <w:vAlign w:val="center"/>
          </w:tcPr>
          <w:p>
            <w:pPr>
              <w:snapToGrid w:val="0"/>
              <w:spacing w:line="400" w:lineRule="exact"/>
              <w:jc w:val="center"/>
              <w:rPr>
                <w:rFonts w:cs="宋体" w:asciiTheme="minorEastAsia" w:hAnsiTheme="minorEastAsia" w:eastAsiaTheme="minorEastAsia"/>
                <w:sz w:val="24"/>
                <w:szCs w:val="24"/>
                <w:highlight w:val="none"/>
              </w:rPr>
            </w:pPr>
          </w:p>
        </w:tc>
        <w:tc>
          <w:tcPr>
            <w:tcW w:w="849" w:type="dxa"/>
            <w:vAlign w:val="center"/>
          </w:tcPr>
          <w:p>
            <w:pPr>
              <w:snapToGrid w:val="0"/>
              <w:spacing w:line="400" w:lineRule="exact"/>
              <w:jc w:val="center"/>
              <w:rPr>
                <w:rFonts w:cs="宋体" w:asciiTheme="minorEastAsia" w:hAnsiTheme="minorEastAsia" w:eastAsiaTheme="minorEastAsia"/>
                <w:sz w:val="24"/>
                <w:szCs w:val="24"/>
                <w:highlight w:val="none"/>
              </w:rPr>
            </w:pPr>
          </w:p>
        </w:tc>
        <w:tc>
          <w:tcPr>
            <w:tcW w:w="966" w:type="dxa"/>
            <w:vAlign w:val="center"/>
          </w:tcPr>
          <w:p>
            <w:pPr>
              <w:snapToGrid w:val="0"/>
              <w:spacing w:line="400" w:lineRule="exact"/>
              <w:jc w:val="center"/>
              <w:rPr>
                <w:rFonts w:cs="宋体" w:asciiTheme="minorEastAsia" w:hAnsiTheme="minorEastAsia" w:eastAsiaTheme="minorEastAsia"/>
                <w:sz w:val="24"/>
                <w:szCs w:val="24"/>
                <w:highlight w:val="none"/>
              </w:rPr>
            </w:pPr>
          </w:p>
        </w:tc>
        <w:tc>
          <w:tcPr>
            <w:tcW w:w="978" w:type="dxa"/>
            <w:vAlign w:val="center"/>
          </w:tcPr>
          <w:p>
            <w:pPr>
              <w:snapToGrid w:val="0"/>
              <w:spacing w:line="400" w:lineRule="exact"/>
              <w:jc w:val="center"/>
              <w:rPr>
                <w:rFonts w:cs="宋体" w:asciiTheme="minorEastAsia" w:hAnsiTheme="minorEastAsia" w:eastAsiaTheme="minorEastAsia"/>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3" w:hRule="atLeast"/>
          <w:jc w:val="center"/>
        </w:trPr>
        <w:tc>
          <w:tcPr>
            <w:tcW w:w="8522" w:type="dxa"/>
            <w:gridSpan w:val="6"/>
            <w:vAlign w:val="center"/>
          </w:tcPr>
          <w:p>
            <w:pPr>
              <w:snapToGrid w:val="0"/>
              <w:spacing w:line="400" w:lineRule="exact"/>
              <w:jc w:val="left"/>
              <w:rPr>
                <w:rFonts w:cs="宋体" w:asciiTheme="minorEastAsia" w:hAnsiTheme="minorEastAsia" w:eastAsiaTheme="minorEastAsia"/>
                <w:sz w:val="24"/>
                <w:szCs w:val="24"/>
                <w:highlight w:val="none"/>
              </w:rPr>
            </w:pPr>
            <w:r>
              <w:rPr>
                <w:rFonts w:hint="eastAsia" w:cs="宋体" w:asciiTheme="minorEastAsia" w:hAnsiTheme="minorEastAsia" w:eastAsiaTheme="minorEastAsia"/>
                <w:b/>
                <w:sz w:val="24"/>
                <w:szCs w:val="24"/>
                <w:highlight w:val="none"/>
              </w:rPr>
              <w:t>报价合计（元）：</w:t>
            </w:r>
          </w:p>
        </w:tc>
      </w:tr>
    </w:tbl>
    <w:p>
      <w:pPr>
        <w:wordWrap w:val="0"/>
        <w:topLinePunct/>
        <w:spacing w:line="400" w:lineRule="exact"/>
        <w:rPr>
          <w:rFonts w:hint="eastAsia" w:asciiTheme="minorEastAsia" w:hAnsiTheme="minorEastAsia" w:eastAsiaTheme="minorEastAsia"/>
          <w:b/>
          <w:bCs/>
          <w:sz w:val="24"/>
          <w:szCs w:val="24"/>
          <w:highlight w:val="none"/>
          <w:lang w:val="en-US" w:eastAsia="zh-CN"/>
        </w:rPr>
      </w:pPr>
    </w:p>
    <w:p>
      <w:pPr>
        <w:wordWrap w:val="0"/>
        <w:topLinePunct/>
        <w:spacing w:line="400" w:lineRule="exact"/>
        <w:rPr>
          <w:rFonts w:hint="default" w:asciiTheme="minorEastAsia" w:hAnsiTheme="minorEastAsia" w:eastAsiaTheme="minorEastAsia"/>
          <w:b/>
          <w:bCs/>
          <w:sz w:val="24"/>
          <w:szCs w:val="24"/>
          <w:highlight w:val="none"/>
          <w:lang w:val="en-US" w:eastAsia="zh-CN"/>
        </w:rPr>
      </w:pPr>
      <w:r>
        <w:rPr>
          <w:rFonts w:hint="eastAsia" w:asciiTheme="minorEastAsia" w:hAnsiTheme="minorEastAsia" w:eastAsiaTheme="minorEastAsia"/>
          <w:b/>
          <w:bCs/>
          <w:sz w:val="24"/>
          <w:szCs w:val="24"/>
          <w:highlight w:val="none"/>
          <w:lang w:val="en-US" w:eastAsia="zh-CN"/>
        </w:rPr>
        <w:t>表2</w:t>
      </w:r>
    </w:p>
    <w:tbl>
      <w:tblPr>
        <w:tblStyle w:val="19"/>
        <w:tblW w:w="105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2"/>
        <w:gridCol w:w="400"/>
        <w:gridCol w:w="911"/>
        <w:gridCol w:w="1449"/>
        <w:gridCol w:w="966"/>
        <w:gridCol w:w="840"/>
        <w:gridCol w:w="840"/>
        <w:gridCol w:w="840"/>
        <w:gridCol w:w="945"/>
        <w:gridCol w:w="1437"/>
        <w:gridCol w:w="10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14" w:hRule="exact"/>
          <w:jc w:val="center"/>
        </w:trPr>
        <w:tc>
          <w:tcPr>
            <w:tcW w:w="842" w:type="dxa"/>
            <w:vAlign w:val="center"/>
          </w:tcPr>
          <w:p>
            <w:pPr>
              <w:snapToGrid w:val="0"/>
              <w:spacing w:line="400" w:lineRule="exact"/>
              <w:jc w:val="center"/>
              <w:rPr>
                <w:rFonts w:ascii="宋体" w:hAnsi="宋体" w:cs="宋体"/>
                <w:b/>
                <w:bCs/>
                <w:color w:val="000000"/>
                <w:szCs w:val="21"/>
              </w:rPr>
            </w:pPr>
            <w:r>
              <w:rPr>
                <w:rFonts w:hint="eastAsia" w:ascii="宋体" w:hAnsi="宋体" w:cs="宋体"/>
                <w:b/>
                <w:bCs/>
                <w:color w:val="000000"/>
                <w:szCs w:val="21"/>
                <w:highlight w:val="white"/>
              </w:rPr>
              <w:t>序号</w:t>
            </w:r>
          </w:p>
        </w:tc>
        <w:tc>
          <w:tcPr>
            <w:tcW w:w="1311" w:type="dxa"/>
            <w:gridSpan w:val="2"/>
            <w:vAlign w:val="center"/>
          </w:tcPr>
          <w:p>
            <w:pPr>
              <w:snapToGrid w:val="0"/>
              <w:spacing w:line="400" w:lineRule="exact"/>
              <w:jc w:val="center"/>
              <w:rPr>
                <w:rFonts w:ascii="宋体" w:hAnsi="宋体" w:cs="宋体"/>
                <w:b/>
                <w:bCs/>
                <w:color w:val="000000"/>
                <w:szCs w:val="21"/>
              </w:rPr>
            </w:pPr>
            <w:r>
              <w:rPr>
                <w:rFonts w:hint="eastAsia" w:ascii="宋体" w:hAnsi="宋体" w:cs="宋体"/>
                <w:b/>
                <w:bCs/>
                <w:color w:val="000000"/>
                <w:szCs w:val="21"/>
                <w:highlight w:val="white"/>
              </w:rPr>
              <w:t>货物/服务名称</w:t>
            </w:r>
          </w:p>
        </w:tc>
        <w:tc>
          <w:tcPr>
            <w:tcW w:w="1449" w:type="dxa"/>
            <w:vAlign w:val="center"/>
          </w:tcPr>
          <w:p>
            <w:pPr>
              <w:snapToGrid w:val="0"/>
              <w:spacing w:line="400" w:lineRule="exact"/>
              <w:jc w:val="center"/>
              <w:rPr>
                <w:rFonts w:ascii="宋体" w:hAnsi="宋体" w:cs="宋体"/>
                <w:b/>
                <w:bCs/>
                <w:color w:val="000000"/>
                <w:szCs w:val="21"/>
              </w:rPr>
            </w:pPr>
            <w:r>
              <w:rPr>
                <w:rFonts w:hint="eastAsia" w:ascii="宋体" w:hAnsi="宋体" w:cs="宋体"/>
                <w:b/>
                <w:bCs/>
                <w:color w:val="000000"/>
                <w:szCs w:val="21"/>
                <w:highlight w:val="white"/>
              </w:rPr>
              <w:t>货物的规格型号/版本号</w:t>
            </w:r>
          </w:p>
        </w:tc>
        <w:tc>
          <w:tcPr>
            <w:tcW w:w="966" w:type="dxa"/>
            <w:vAlign w:val="center"/>
          </w:tcPr>
          <w:p>
            <w:pPr>
              <w:snapToGrid w:val="0"/>
              <w:spacing w:line="400" w:lineRule="exact"/>
              <w:jc w:val="center"/>
              <w:rPr>
                <w:rFonts w:ascii="宋体" w:hAnsi="宋体" w:cs="宋体"/>
                <w:b/>
                <w:bCs/>
                <w:color w:val="000000"/>
                <w:szCs w:val="21"/>
                <w:highlight w:val="white"/>
              </w:rPr>
            </w:pPr>
            <w:r>
              <w:rPr>
                <w:rFonts w:hint="eastAsia" w:ascii="宋体" w:hAnsi="宋体" w:cs="宋体"/>
                <w:b/>
                <w:bCs/>
                <w:color w:val="000000"/>
                <w:szCs w:val="21"/>
                <w:highlight w:val="white"/>
              </w:rPr>
              <w:t>货物</w:t>
            </w:r>
          </w:p>
          <w:p>
            <w:pPr>
              <w:snapToGrid w:val="0"/>
              <w:spacing w:line="400" w:lineRule="exact"/>
              <w:jc w:val="center"/>
              <w:rPr>
                <w:rFonts w:ascii="宋体" w:hAnsi="宋体" w:cs="宋体"/>
                <w:b/>
                <w:bCs/>
                <w:color w:val="000000"/>
                <w:szCs w:val="21"/>
              </w:rPr>
            </w:pPr>
            <w:r>
              <w:rPr>
                <w:rFonts w:hint="eastAsia" w:ascii="宋体" w:hAnsi="宋体" w:cs="宋体"/>
                <w:b/>
                <w:bCs/>
                <w:color w:val="000000"/>
                <w:szCs w:val="21"/>
                <w:highlight w:val="white"/>
              </w:rPr>
              <w:t>品牌</w:t>
            </w:r>
          </w:p>
        </w:tc>
        <w:tc>
          <w:tcPr>
            <w:tcW w:w="840" w:type="dxa"/>
            <w:vAlign w:val="center"/>
          </w:tcPr>
          <w:p>
            <w:pPr>
              <w:snapToGrid w:val="0"/>
              <w:spacing w:line="400" w:lineRule="exact"/>
              <w:jc w:val="center"/>
              <w:rPr>
                <w:rFonts w:ascii="宋体" w:hAnsi="宋体" w:cs="宋体"/>
                <w:b/>
                <w:bCs/>
                <w:color w:val="000000"/>
                <w:szCs w:val="21"/>
              </w:rPr>
            </w:pPr>
            <w:r>
              <w:rPr>
                <w:rFonts w:hint="eastAsia" w:ascii="宋体" w:hAnsi="宋体" w:cs="宋体"/>
                <w:b/>
                <w:bCs/>
                <w:color w:val="000000"/>
                <w:szCs w:val="21"/>
                <w:highlight w:val="white"/>
              </w:rPr>
              <w:t>单位</w:t>
            </w:r>
          </w:p>
        </w:tc>
        <w:tc>
          <w:tcPr>
            <w:tcW w:w="840" w:type="dxa"/>
            <w:vAlign w:val="center"/>
          </w:tcPr>
          <w:p>
            <w:pPr>
              <w:snapToGrid w:val="0"/>
              <w:spacing w:line="400" w:lineRule="exact"/>
              <w:jc w:val="center"/>
              <w:rPr>
                <w:rFonts w:ascii="宋体" w:hAnsi="宋体" w:cs="宋体"/>
                <w:b/>
                <w:bCs/>
                <w:color w:val="000000"/>
                <w:szCs w:val="21"/>
              </w:rPr>
            </w:pPr>
            <w:r>
              <w:rPr>
                <w:rFonts w:hint="eastAsia" w:ascii="宋体" w:hAnsi="宋体" w:cs="宋体"/>
                <w:b/>
                <w:bCs/>
                <w:color w:val="000000"/>
                <w:szCs w:val="21"/>
                <w:highlight w:val="white"/>
              </w:rPr>
              <w:t>数量</w:t>
            </w:r>
          </w:p>
        </w:tc>
        <w:tc>
          <w:tcPr>
            <w:tcW w:w="840" w:type="dxa"/>
            <w:vAlign w:val="center"/>
          </w:tcPr>
          <w:p>
            <w:pPr>
              <w:snapToGrid w:val="0"/>
              <w:spacing w:line="400" w:lineRule="exact"/>
              <w:jc w:val="center"/>
              <w:rPr>
                <w:rFonts w:ascii="宋体" w:hAnsi="宋体" w:cs="宋体"/>
                <w:b/>
                <w:bCs/>
                <w:color w:val="000000"/>
                <w:szCs w:val="21"/>
              </w:rPr>
            </w:pPr>
            <w:r>
              <w:rPr>
                <w:rFonts w:hint="eastAsia" w:ascii="宋体" w:hAnsi="宋体" w:cs="宋体"/>
                <w:b/>
                <w:bCs/>
                <w:color w:val="000000"/>
                <w:szCs w:val="21"/>
                <w:highlight w:val="white"/>
              </w:rPr>
              <w:t>单价</w:t>
            </w:r>
          </w:p>
          <w:p>
            <w:pPr>
              <w:snapToGrid w:val="0"/>
              <w:spacing w:line="400" w:lineRule="exact"/>
              <w:jc w:val="center"/>
              <w:rPr>
                <w:rFonts w:ascii="宋体" w:hAnsi="宋体" w:cs="宋体"/>
                <w:b/>
                <w:bCs/>
                <w:color w:val="000000"/>
                <w:szCs w:val="21"/>
              </w:rPr>
            </w:pPr>
            <w:r>
              <w:rPr>
                <w:rFonts w:hint="eastAsia" w:ascii="宋体" w:hAnsi="宋体" w:cs="宋体"/>
                <w:b/>
                <w:bCs/>
                <w:color w:val="000000"/>
                <w:szCs w:val="21"/>
              </w:rPr>
              <w:t>（元）</w:t>
            </w:r>
          </w:p>
        </w:tc>
        <w:tc>
          <w:tcPr>
            <w:tcW w:w="945" w:type="dxa"/>
            <w:vAlign w:val="center"/>
          </w:tcPr>
          <w:p>
            <w:pPr>
              <w:snapToGrid w:val="0"/>
              <w:spacing w:line="400" w:lineRule="exact"/>
              <w:jc w:val="center"/>
              <w:rPr>
                <w:rFonts w:ascii="宋体" w:hAnsi="宋体" w:cs="宋体"/>
                <w:b/>
                <w:bCs/>
                <w:color w:val="000000"/>
                <w:szCs w:val="21"/>
              </w:rPr>
            </w:pPr>
            <w:r>
              <w:rPr>
                <w:rFonts w:hint="eastAsia" w:ascii="宋体" w:hAnsi="宋体" w:cs="宋体"/>
                <w:b/>
                <w:bCs/>
                <w:color w:val="000000"/>
                <w:szCs w:val="21"/>
                <w:highlight w:val="white"/>
              </w:rPr>
              <w:t>金额</w:t>
            </w:r>
          </w:p>
          <w:p>
            <w:pPr>
              <w:snapToGrid w:val="0"/>
              <w:spacing w:line="400" w:lineRule="exact"/>
              <w:jc w:val="center"/>
              <w:rPr>
                <w:rFonts w:ascii="宋体" w:hAnsi="宋体" w:cs="宋体"/>
                <w:b/>
                <w:bCs/>
                <w:color w:val="000000"/>
                <w:szCs w:val="21"/>
              </w:rPr>
            </w:pPr>
            <w:r>
              <w:rPr>
                <w:rFonts w:hint="eastAsia" w:ascii="宋体" w:hAnsi="宋体" w:cs="宋体"/>
                <w:b/>
                <w:bCs/>
                <w:color w:val="000000"/>
                <w:szCs w:val="21"/>
              </w:rPr>
              <w:t>（元）</w:t>
            </w:r>
          </w:p>
        </w:tc>
        <w:tc>
          <w:tcPr>
            <w:tcW w:w="1437" w:type="dxa"/>
          </w:tcPr>
          <w:p>
            <w:pPr>
              <w:snapToGrid w:val="0"/>
              <w:spacing w:line="400" w:lineRule="exact"/>
              <w:ind w:firstLine="105" w:firstLineChars="50"/>
              <w:jc w:val="center"/>
              <w:rPr>
                <w:rFonts w:ascii="宋体" w:hAnsi="宋体" w:cs="宋体"/>
                <w:b/>
                <w:bCs/>
                <w:color w:val="000000"/>
                <w:szCs w:val="21"/>
                <w:highlight w:val="white"/>
              </w:rPr>
            </w:pPr>
            <w:r>
              <w:rPr>
                <w:rFonts w:hint="eastAsia" w:ascii="宋体" w:hAnsi="宋体" w:cs="宋体"/>
                <w:b/>
                <w:bCs/>
                <w:color w:val="000000"/>
                <w:szCs w:val="21"/>
                <w:highlight w:val="white"/>
              </w:rPr>
              <w:t>是否属于节能、环保产品、无线局域网产品</w:t>
            </w:r>
          </w:p>
        </w:tc>
        <w:tc>
          <w:tcPr>
            <w:tcW w:w="1047" w:type="dxa"/>
            <w:vAlign w:val="center"/>
          </w:tcPr>
          <w:p>
            <w:pPr>
              <w:snapToGrid w:val="0"/>
              <w:spacing w:line="400" w:lineRule="exact"/>
              <w:ind w:firstLine="105" w:firstLineChars="50"/>
              <w:jc w:val="center"/>
              <w:rPr>
                <w:rFonts w:ascii="宋体" w:hAnsi="宋体" w:cs="宋体"/>
                <w:b/>
                <w:bCs/>
                <w:color w:val="000000"/>
                <w:szCs w:val="21"/>
              </w:rPr>
            </w:pPr>
            <w:r>
              <w:rPr>
                <w:rFonts w:hint="eastAsia" w:ascii="宋体" w:hAnsi="宋体" w:cs="宋体"/>
                <w:b/>
                <w:bCs/>
                <w:color w:val="000000"/>
                <w:szCs w:val="21"/>
                <w:highlight w:val="whit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42" w:type="dxa"/>
            <w:vAlign w:val="center"/>
          </w:tcPr>
          <w:p>
            <w:pPr>
              <w:snapToGrid w:val="0"/>
              <w:spacing w:line="400" w:lineRule="exact"/>
              <w:jc w:val="center"/>
              <w:rPr>
                <w:rFonts w:ascii="宋体" w:hAnsi="宋体" w:cs="宋体"/>
                <w:color w:val="000000"/>
                <w:sz w:val="24"/>
                <w:szCs w:val="24"/>
              </w:rPr>
            </w:pPr>
          </w:p>
        </w:tc>
        <w:tc>
          <w:tcPr>
            <w:tcW w:w="1311" w:type="dxa"/>
            <w:gridSpan w:val="2"/>
            <w:vAlign w:val="center"/>
          </w:tcPr>
          <w:p>
            <w:pPr>
              <w:snapToGrid w:val="0"/>
              <w:spacing w:line="400" w:lineRule="exact"/>
              <w:jc w:val="center"/>
              <w:rPr>
                <w:rFonts w:ascii="宋体" w:hAnsi="宋体" w:cs="宋体"/>
                <w:color w:val="000000"/>
                <w:sz w:val="24"/>
                <w:szCs w:val="24"/>
              </w:rPr>
            </w:pPr>
          </w:p>
        </w:tc>
        <w:tc>
          <w:tcPr>
            <w:tcW w:w="1449" w:type="dxa"/>
            <w:vAlign w:val="center"/>
          </w:tcPr>
          <w:p>
            <w:pPr>
              <w:snapToGrid w:val="0"/>
              <w:spacing w:line="400" w:lineRule="exact"/>
              <w:jc w:val="center"/>
              <w:rPr>
                <w:rFonts w:ascii="宋体" w:hAnsi="宋体" w:cs="宋体"/>
                <w:color w:val="000000"/>
                <w:sz w:val="24"/>
                <w:szCs w:val="24"/>
              </w:rPr>
            </w:pPr>
          </w:p>
        </w:tc>
        <w:tc>
          <w:tcPr>
            <w:tcW w:w="966" w:type="dxa"/>
            <w:vAlign w:val="center"/>
          </w:tcPr>
          <w:p>
            <w:pPr>
              <w:snapToGrid w:val="0"/>
              <w:spacing w:line="400" w:lineRule="exact"/>
              <w:jc w:val="center"/>
              <w:rPr>
                <w:rFonts w:ascii="宋体" w:hAnsi="宋体" w:cs="宋体"/>
                <w:color w:val="000000"/>
                <w:sz w:val="24"/>
                <w:szCs w:val="24"/>
              </w:rPr>
            </w:pPr>
          </w:p>
        </w:tc>
        <w:tc>
          <w:tcPr>
            <w:tcW w:w="840" w:type="dxa"/>
            <w:vAlign w:val="center"/>
          </w:tcPr>
          <w:p>
            <w:pPr>
              <w:snapToGrid w:val="0"/>
              <w:spacing w:line="400" w:lineRule="exact"/>
              <w:jc w:val="center"/>
              <w:rPr>
                <w:rFonts w:ascii="宋体" w:hAnsi="宋体" w:cs="宋体"/>
                <w:color w:val="000000"/>
                <w:sz w:val="24"/>
                <w:szCs w:val="24"/>
              </w:rPr>
            </w:pPr>
          </w:p>
        </w:tc>
        <w:tc>
          <w:tcPr>
            <w:tcW w:w="840" w:type="dxa"/>
            <w:vAlign w:val="center"/>
          </w:tcPr>
          <w:p>
            <w:pPr>
              <w:snapToGrid w:val="0"/>
              <w:spacing w:line="400" w:lineRule="exact"/>
              <w:jc w:val="center"/>
              <w:rPr>
                <w:rFonts w:ascii="宋体" w:hAnsi="宋体" w:cs="宋体"/>
                <w:color w:val="000000"/>
                <w:sz w:val="24"/>
                <w:szCs w:val="24"/>
              </w:rPr>
            </w:pPr>
          </w:p>
        </w:tc>
        <w:tc>
          <w:tcPr>
            <w:tcW w:w="840" w:type="dxa"/>
            <w:vAlign w:val="center"/>
          </w:tcPr>
          <w:p>
            <w:pPr>
              <w:snapToGrid w:val="0"/>
              <w:spacing w:line="400" w:lineRule="exact"/>
              <w:jc w:val="center"/>
              <w:rPr>
                <w:rFonts w:ascii="宋体" w:hAnsi="宋体" w:cs="宋体"/>
                <w:color w:val="000000"/>
                <w:sz w:val="24"/>
                <w:szCs w:val="24"/>
              </w:rPr>
            </w:pPr>
          </w:p>
        </w:tc>
        <w:tc>
          <w:tcPr>
            <w:tcW w:w="945" w:type="dxa"/>
            <w:vAlign w:val="center"/>
          </w:tcPr>
          <w:p>
            <w:pPr>
              <w:snapToGrid w:val="0"/>
              <w:spacing w:line="400" w:lineRule="exact"/>
              <w:jc w:val="center"/>
              <w:rPr>
                <w:rFonts w:ascii="宋体" w:hAnsi="宋体" w:cs="宋体"/>
                <w:color w:val="000000"/>
                <w:sz w:val="24"/>
                <w:szCs w:val="24"/>
              </w:rPr>
            </w:pPr>
          </w:p>
        </w:tc>
        <w:tc>
          <w:tcPr>
            <w:tcW w:w="1437" w:type="dxa"/>
          </w:tcPr>
          <w:p>
            <w:pPr>
              <w:snapToGrid w:val="0"/>
              <w:spacing w:line="400" w:lineRule="exact"/>
              <w:jc w:val="center"/>
              <w:rPr>
                <w:rFonts w:ascii="宋体" w:hAnsi="宋体" w:cs="宋体"/>
                <w:color w:val="000000"/>
                <w:sz w:val="24"/>
                <w:szCs w:val="24"/>
              </w:rPr>
            </w:pPr>
          </w:p>
        </w:tc>
        <w:tc>
          <w:tcPr>
            <w:tcW w:w="1047" w:type="dxa"/>
            <w:vAlign w:val="center"/>
          </w:tcPr>
          <w:p>
            <w:pPr>
              <w:snapToGrid w:val="0"/>
              <w:spacing w:line="400" w:lineRule="exact"/>
              <w:jc w:val="center"/>
              <w:rPr>
                <w:rFonts w:ascii="宋体" w:hAnsi="宋体" w:cs="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42" w:type="dxa"/>
            <w:vAlign w:val="center"/>
          </w:tcPr>
          <w:p>
            <w:pPr>
              <w:snapToGrid w:val="0"/>
              <w:spacing w:line="400" w:lineRule="exact"/>
              <w:jc w:val="center"/>
              <w:rPr>
                <w:rFonts w:ascii="宋体" w:hAnsi="宋体" w:cs="宋体"/>
                <w:color w:val="000000"/>
                <w:sz w:val="24"/>
                <w:szCs w:val="24"/>
              </w:rPr>
            </w:pPr>
          </w:p>
        </w:tc>
        <w:tc>
          <w:tcPr>
            <w:tcW w:w="1311" w:type="dxa"/>
            <w:gridSpan w:val="2"/>
            <w:vAlign w:val="center"/>
          </w:tcPr>
          <w:p>
            <w:pPr>
              <w:snapToGrid w:val="0"/>
              <w:spacing w:line="400" w:lineRule="exact"/>
              <w:jc w:val="center"/>
              <w:rPr>
                <w:rFonts w:ascii="宋体" w:hAnsi="宋体" w:cs="宋体"/>
                <w:color w:val="000000"/>
                <w:sz w:val="24"/>
                <w:szCs w:val="24"/>
              </w:rPr>
            </w:pPr>
          </w:p>
        </w:tc>
        <w:tc>
          <w:tcPr>
            <w:tcW w:w="1449" w:type="dxa"/>
            <w:vAlign w:val="center"/>
          </w:tcPr>
          <w:p>
            <w:pPr>
              <w:snapToGrid w:val="0"/>
              <w:spacing w:line="400" w:lineRule="exact"/>
              <w:jc w:val="center"/>
              <w:rPr>
                <w:rFonts w:ascii="宋体" w:hAnsi="宋体" w:cs="宋体"/>
                <w:color w:val="000000"/>
                <w:sz w:val="24"/>
                <w:szCs w:val="24"/>
              </w:rPr>
            </w:pPr>
          </w:p>
        </w:tc>
        <w:tc>
          <w:tcPr>
            <w:tcW w:w="966" w:type="dxa"/>
            <w:vAlign w:val="center"/>
          </w:tcPr>
          <w:p>
            <w:pPr>
              <w:snapToGrid w:val="0"/>
              <w:spacing w:line="400" w:lineRule="exact"/>
              <w:jc w:val="center"/>
              <w:rPr>
                <w:rFonts w:ascii="宋体" w:hAnsi="宋体" w:cs="宋体"/>
                <w:color w:val="000000"/>
                <w:sz w:val="24"/>
                <w:szCs w:val="24"/>
              </w:rPr>
            </w:pPr>
          </w:p>
        </w:tc>
        <w:tc>
          <w:tcPr>
            <w:tcW w:w="840" w:type="dxa"/>
            <w:vAlign w:val="center"/>
          </w:tcPr>
          <w:p>
            <w:pPr>
              <w:snapToGrid w:val="0"/>
              <w:spacing w:line="400" w:lineRule="exact"/>
              <w:jc w:val="center"/>
              <w:rPr>
                <w:rFonts w:ascii="宋体" w:hAnsi="宋体" w:cs="宋体"/>
                <w:color w:val="000000"/>
                <w:sz w:val="24"/>
                <w:szCs w:val="24"/>
              </w:rPr>
            </w:pPr>
          </w:p>
        </w:tc>
        <w:tc>
          <w:tcPr>
            <w:tcW w:w="840" w:type="dxa"/>
            <w:vAlign w:val="center"/>
          </w:tcPr>
          <w:p>
            <w:pPr>
              <w:snapToGrid w:val="0"/>
              <w:spacing w:line="400" w:lineRule="exact"/>
              <w:jc w:val="center"/>
              <w:rPr>
                <w:rFonts w:ascii="宋体" w:hAnsi="宋体" w:cs="宋体"/>
                <w:color w:val="000000"/>
                <w:sz w:val="24"/>
                <w:szCs w:val="24"/>
              </w:rPr>
            </w:pPr>
          </w:p>
        </w:tc>
        <w:tc>
          <w:tcPr>
            <w:tcW w:w="840" w:type="dxa"/>
            <w:vAlign w:val="center"/>
          </w:tcPr>
          <w:p>
            <w:pPr>
              <w:snapToGrid w:val="0"/>
              <w:spacing w:line="400" w:lineRule="exact"/>
              <w:jc w:val="center"/>
              <w:rPr>
                <w:rFonts w:ascii="宋体" w:hAnsi="宋体" w:cs="宋体"/>
                <w:color w:val="000000"/>
                <w:sz w:val="24"/>
                <w:szCs w:val="24"/>
              </w:rPr>
            </w:pPr>
          </w:p>
        </w:tc>
        <w:tc>
          <w:tcPr>
            <w:tcW w:w="945" w:type="dxa"/>
            <w:vAlign w:val="center"/>
          </w:tcPr>
          <w:p>
            <w:pPr>
              <w:snapToGrid w:val="0"/>
              <w:spacing w:line="400" w:lineRule="exact"/>
              <w:jc w:val="center"/>
              <w:rPr>
                <w:rFonts w:ascii="宋体" w:hAnsi="宋体" w:cs="宋体"/>
                <w:color w:val="000000"/>
                <w:sz w:val="24"/>
                <w:szCs w:val="24"/>
              </w:rPr>
            </w:pPr>
          </w:p>
        </w:tc>
        <w:tc>
          <w:tcPr>
            <w:tcW w:w="1437" w:type="dxa"/>
          </w:tcPr>
          <w:p>
            <w:pPr>
              <w:snapToGrid w:val="0"/>
              <w:spacing w:line="400" w:lineRule="exact"/>
              <w:jc w:val="center"/>
              <w:rPr>
                <w:rFonts w:ascii="宋体" w:hAnsi="宋体" w:cs="宋体"/>
                <w:color w:val="000000"/>
                <w:sz w:val="24"/>
                <w:szCs w:val="24"/>
              </w:rPr>
            </w:pPr>
          </w:p>
        </w:tc>
        <w:tc>
          <w:tcPr>
            <w:tcW w:w="1047" w:type="dxa"/>
            <w:vAlign w:val="center"/>
          </w:tcPr>
          <w:p>
            <w:pPr>
              <w:snapToGrid w:val="0"/>
              <w:spacing w:line="400" w:lineRule="exact"/>
              <w:jc w:val="center"/>
              <w:rPr>
                <w:rFonts w:ascii="宋体" w:hAnsi="宋体" w:cs="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42" w:type="dxa"/>
            <w:vAlign w:val="center"/>
          </w:tcPr>
          <w:p>
            <w:pPr>
              <w:snapToGrid w:val="0"/>
              <w:spacing w:line="400" w:lineRule="exact"/>
              <w:jc w:val="center"/>
              <w:rPr>
                <w:rFonts w:ascii="宋体" w:hAnsi="宋体" w:cs="宋体"/>
                <w:color w:val="000000"/>
                <w:sz w:val="24"/>
                <w:szCs w:val="24"/>
              </w:rPr>
            </w:pPr>
          </w:p>
        </w:tc>
        <w:tc>
          <w:tcPr>
            <w:tcW w:w="1311" w:type="dxa"/>
            <w:gridSpan w:val="2"/>
            <w:vAlign w:val="center"/>
          </w:tcPr>
          <w:p>
            <w:pPr>
              <w:snapToGrid w:val="0"/>
              <w:spacing w:line="400" w:lineRule="exact"/>
              <w:jc w:val="center"/>
              <w:rPr>
                <w:rFonts w:ascii="宋体" w:hAnsi="宋体" w:cs="宋体"/>
                <w:color w:val="000000"/>
                <w:sz w:val="24"/>
                <w:szCs w:val="24"/>
              </w:rPr>
            </w:pPr>
          </w:p>
        </w:tc>
        <w:tc>
          <w:tcPr>
            <w:tcW w:w="1449" w:type="dxa"/>
            <w:vAlign w:val="center"/>
          </w:tcPr>
          <w:p>
            <w:pPr>
              <w:snapToGrid w:val="0"/>
              <w:spacing w:line="400" w:lineRule="exact"/>
              <w:jc w:val="center"/>
              <w:rPr>
                <w:rFonts w:ascii="宋体" w:hAnsi="宋体" w:cs="宋体"/>
                <w:color w:val="000000"/>
                <w:sz w:val="24"/>
                <w:szCs w:val="24"/>
              </w:rPr>
            </w:pPr>
          </w:p>
        </w:tc>
        <w:tc>
          <w:tcPr>
            <w:tcW w:w="966" w:type="dxa"/>
            <w:vAlign w:val="center"/>
          </w:tcPr>
          <w:p>
            <w:pPr>
              <w:snapToGrid w:val="0"/>
              <w:spacing w:line="400" w:lineRule="exact"/>
              <w:jc w:val="center"/>
              <w:rPr>
                <w:rFonts w:ascii="宋体" w:hAnsi="宋体" w:cs="宋体"/>
                <w:color w:val="000000"/>
                <w:sz w:val="24"/>
                <w:szCs w:val="24"/>
              </w:rPr>
            </w:pPr>
          </w:p>
        </w:tc>
        <w:tc>
          <w:tcPr>
            <w:tcW w:w="840" w:type="dxa"/>
            <w:vAlign w:val="center"/>
          </w:tcPr>
          <w:p>
            <w:pPr>
              <w:snapToGrid w:val="0"/>
              <w:spacing w:line="400" w:lineRule="exact"/>
              <w:jc w:val="center"/>
              <w:rPr>
                <w:rFonts w:ascii="宋体" w:hAnsi="宋体" w:cs="宋体"/>
                <w:color w:val="000000"/>
                <w:sz w:val="24"/>
                <w:szCs w:val="24"/>
              </w:rPr>
            </w:pPr>
          </w:p>
        </w:tc>
        <w:tc>
          <w:tcPr>
            <w:tcW w:w="840" w:type="dxa"/>
            <w:vAlign w:val="center"/>
          </w:tcPr>
          <w:p>
            <w:pPr>
              <w:snapToGrid w:val="0"/>
              <w:spacing w:line="400" w:lineRule="exact"/>
              <w:jc w:val="center"/>
              <w:rPr>
                <w:rFonts w:ascii="宋体" w:hAnsi="宋体" w:cs="宋体"/>
                <w:color w:val="000000"/>
                <w:sz w:val="24"/>
                <w:szCs w:val="24"/>
              </w:rPr>
            </w:pPr>
          </w:p>
        </w:tc>
        <w:tc>
          <w:tcPr>
            <w:tcW w:w="840" w:type="dxa"/>
            <w:vAlign w:val="center"/>
          </w:tcPr>
          <w:p>
            <w:pPr>
              <w:snapToGrid w:val="0"/>
              <w:spacing w:line="400" w:lineRule="exact"/>
              <w:jc w:val="center"/>
              <w:rPr>
                <w:rFonts w:ascii="宋体" w:hAnsi="宋体" w:cs="宋体"/>
                <w:color w:val="000000"/>
                <w:sz w:val="24"/>
                <w:szCs w:val="24"/>
              </w:rPr>
            </w:pPr>
          </w:p>
        </w:tc>
        <w:tc>
          <w:tcPr>
            <w:tcW w:w="945" w:type="dxa"/>
            <w:vAlign w:val="center"/>
          </w:tcPr>
          <w:p>
            <w:pPr>
              <w:snapToGrid w:val="0"/>
              <w:spacing w:line="400" w:lineRule="exact"/>
              <w:jc w:val="center"/>
              <w:rPr>
                <w:rFonts w:ascii="宋体" w:hAnsi="宋体" w:cs="宋体"/>
                <w:color w:val="000000"/>
                <w:sz w:val="24"/>
                <w:szCs w:val="24"/>
              </w:rPr>
            </w:pPr>
          </w:p>
        </w:tc>
        <w:tc>
          <w:tcPr>
            <w:tcW w:w="1437" w:type="dxa"/>
          </w:tcPr>
          <w:p>
            <w:pPr>
              <w:snapToGrid w:val="0"/>
              <w:spacing w:line="400" w:lineRule="exact"/>
              <w:jc w:val="center"/>
              <w:rPr>
                <w:rFonts w:ascii="宋体" w:hAnsi="宋体" w:cs="宋体"/>
                <w:color w:val="000000"/>
                <w:sz w:val="24"/>
                <w:szCs w:val="24"/>
              </w:rPr>
            </w:pPr>
          </w:p>
        </w:tc>
        <w:tc>
          <w:tcPr>
            <w:tcW w:w="1047" w:type="dxa"/>
            <w:vAlign w:val="center"/>
          </w:tcPr>
          <w:p>
            <w:pPr>
              <w:snapToGrid w:val="0"/>
              <w:spacing w:line="400" w:lineRule="exact"/>
              <w:jc w:val="center"/>
              <w:rPr>
                <w:rFonts w:ascii="宋体" w:hAnsi="宋体" w:cs="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42" w:type="dxa"/>
            <w:vAlign w:val="center"/>
          </w:tcPr>
          <w:p>
            <w:pPr>
              <w:snapToGrid w:val="0"/>
              <w:spacing w:line="400" w:lineRule="exact"/>
              <w:jc w:val="center"/>
              <w:rPr>
                <w:rFonts w:ascii="宋体" w:hAnsi="宋体" w:cs="宋体"/>
                <w:color w:val="000000"/>
                <w:sz w:val="24"/>
                <w:szCs w:val="24"/>
              </w:rPr>
            </w:pPr>
          </w:p>
        </w:tc>
        <w:tc>
          <w:tcPr>
            <w:tcW w:w="1311" w:type="dxa"/>
            <w:gridSpan w:val="2"/>
            <w:vAlign w:val="center"/>
          </w:tcPr>
          <w:p>
            <w:pPr>
              <w:snapToGrid w:val="0"/>
              <w:spacing w:line="400" w:lineRule="exact"/>
              <w:jc w:val="center"/>
              <w:rPr>
                <w:rFonts w:ascii="宋体" w:hAnsi="宋体" w:cs="宋体"/>
                <w:color w:val="000000"/>
                <w:sz w:val="24"/>
                <w:szCs w:val="24"/>
              </w:rPr>
            </w:pPr>
          </w:p>
        </w:tc>
        <w:tc>
          <w:tcPr>
            <w:tcW w:w="1449" w:type="dxa"/>
            <w:vAlign w:val="center"/>
          </w:tcPr>
          <w:p>
            <w:pPr>
              <w:snapToGrid w:val="0"/>
              <w:spacing w:line="400" w:lineRule="exact"/>
              <w:jc w:val="center"/>
              <w:rPr>
                <w:rFonts w:ascii="宋体" w:hAnsi="宋体" w:cs="宋体"/>
                <w:color w:val="000000"/>
                <w:sz w:val="24"/>
                <w:szCs w:val="24"/>
              </w:rPr>
            </w:pPr>
          </w:p>
        </w:tc>
        <w:tc>
          <w:tcPr>
            <w:tcW w:w="966" w:type="dxa"/>
            <w:vAlign w:val="center"/>
          </w:tcPr>
          <w:p>
            <w:pPr>
              <w:snapToGrid w:val="0"/>
              <w:spacing w:line="400" w:lineRule="exact"/>
              <w:jc w:val="center"/>
              <w:rPr>
                <w:rFonts w:ascii="宋体" w:hAnsi="宋体" w:cs="宋体"/>
                <w:color w:val="000000"/>
                <w:sz w:val="24"/>
                <w:szCs w:val="24"/>
              </w:rPr>
            </w:pPr>
          </w:p>
        </w:tc>
        <w:tc>
          <w:tcPr>
            <w:tcW w:w="840" w:type="dxa"/>
            <w:vAlign w:val="center"/>
          </w:tcPr>
          <w:p>
            <w:pPr>
              <w:snapToGrid w:val="0"/>
              <w:spacing w:line="400" w:lineRule="exact"/>
              <w:jc w:val="center"/>
              <w:rPr>
                <w:rFonts w:ascii="宋体" w:hAnsi="宋体" w:cs="宋体"/>
                <w:color w:val="000000"/>
                <w:sz w:val="24"/>
                <w:szCs w:val="24"/>
              </w:rPr>
            </w:pPr>
          </w:p>
        </w:tc>
        <w:tc>
          <w:tcPr>
            <w:tcW w:w="840" w:type="dxa"/>
            <w:vAlign w:val="center"/>
          </w:tcPr>
          <w:p>
            <w:pPr>
              <w:snapToGrid w:val="0"/>
              <w:spacing w:line="400" w:lineRule="exact"/>
              <w:jc w:val="center"/>
              <w:rPr>
                <w:rFonts w:ascii="宋体" w:hAnsi="宋体" w:cs="宋体"/>
                <w:color w:val="000000"/>
                <w:sz w:val="24"/>
                <w:szCs w:val="24"/>
              </w:rPr>
            </w:pPr>
          </w:p>
        </w:tc>
        <w:tc>
          <w:tcPr>
            <w:tcW w:w="840" w:type="dxa"/>
            <w:vAlign w:val="center"/>
          </w:tcPr>
          <w:p>
            <w:pPr>
              <w:snapToGrid w:val="0"/>
              <w:spacing w:line="400" w:lineRule="exact"/>
              <w:jc w:val="center"/>
              <w:rPr>
                <w:rFonts w:ascii="宋体" w:hAnsi="宋体" w:cs="宋体"/>
                <w:color w:val="000000"/>
                <w:sz w:val="24"/>
                <w:szCs w:val="24"/>
              </w:rPr>
            </w:pPr>
          </w:p>
        </w:tc>
        <w:tc>
          <w:tcPr>
            <w:tcW w:w="945" w:type="dxa"/>
            <w:vAlign w:val="center"/>
          </w:tcPr>
          <w:p>
            <w:pPr>
              <w:snapToGrid w:val="0"/>
              <w:spacing w:line="400" w:lineRule="exact"/>
              <w:jc w:val="center"/>
              <w:rPr>
                <w:rFonts w:ascii="宋体" w:hAnsi="宋体" w:cs="宋体"/>
                <w:color w:val="000000"/>
                <w:sz w:val="24"/>
                <w:szCs w:val="24"/>
              </w:rPr>
            </w:pPr>
          </w:p>
        </w:tc>
        <w:tc>
          <w:tcPr>
            <w:tcW w:w="1437" w:type="dxa"/>
          </w:tcPr>
          <w:p>
            <w:pPr>
              <w:snapToGrid w:val="0"/>
              <w:spacing w:line="400" w:lineRule="exact"/>
              <w:jc w:val="center"/>
              <w:rPr>
                <w:rFonts w:ascii="宋体" w:hAnsi="宋体" w:cs="宋体"/>
                <w:color w:val="000000"/>
                <w:sz w:val="24"/>
                <w:szCs w:val="24"/>
              </w:rPr>
            </w:pPr>
          </w:p>
        </w:tc>
        <w:tc>
          <w:tcPr>
            <w:tcW w:w="1047" w:type="dxa"/>
            <w:vAlign w:val="center"/>
          </w:tcPr>
          <w:p>
            <w:pPr>
              <w:snapToGrid w:val="0"/>
              <w:spacing w:line="400" w:lineRule="exact"/>
              <w:jc w:val="center"/>
              <w:rPr>
                <w:rFonts w:ascii="宋体" w:hAnsi="宋体" w:cs="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1242" w:type="dxa"/>
            <w:gridSpan w:val="2"/>
          </w:tcPr>
          <w:p>
            <w:pPr>
              <w:snapToGrid w:val="0"/>
              <w:spacing w:line="400" w:lineRule="exact"/>
              <w:jc w:val="left"/>
              <w:rPr>
                <w:rFonts w:ascii="宋体" w:hAnsi="宋体" w:cs="宋体"/>
                <w:color w:val="000000"/>
                <w:sz w:val="24"/>
                <w:szCs w:val="24"/>
                <w:highlight w:val="white"/>
              </w:rPr>
            </w:pPr>
          </w:p>
        </w:tc>
        <w:tc>
          <w:tcPr>
            <w:tcW w:w="9275" w:type="dxa"/>
            <w:gridSpan w:val="9"/>
            <w:vAlign w:val="center"/>
          </w:tcPr>
          <w:p>
            <w:pPr>
              <w:snapToGrid w:val="0"/>
              <w:spacing w:line="400" w:lineRule="exact"/>
              <w:jc w:val="left"/>
              <w:rPr>
                <w:rFonts w:ascii="宋体" w:hAnsi="宋体" w:cs="宋体"/>
                <w:color w:val="000000"/>
                <w:sz w:val="24"/>
                <w:szCs w:val="24"/>
              </w:rPr>
            </w:pPr>
            <w:r>
              <w:rPr>
                <w:rFonts w:hint="eastAsia" w:ascii="宋体" w:hAnsi="宋体" w:cs="宋体"/>
                <w:color w:val="000000"/>
                <w:sz w:val="24"/>
                <w:szCs w:val="24"/>
                <w:highlight w:val="white"/>
              </w:rPr>
              <w:t>报价合计(元)</w:t>
            </w:r>
            <w:r>
              <w:rPr>
                <w:rFonts w:hint="eastAsia" w:ascii="宋体" w:hAnsi="宋体" w:cs="宋体"/>
                <w:color w:val="000000"/>
                <w:sz w:val="24"/>
                <w:szCs w:val="24"/>
              </w:rPr>
              <w:t>：</w:t>
            </w:r>
          </w:p>
        </w:tc>
      </w:tr>
    </w:tbl>
    <w:p>
      <w:pPr>
        <w:rPr>
          <w:rFonts w:hint="eastAsia"/>
        </w:rPr>
      </w:pPr>
    </w:p>
    <w:p>
      <w:pPr>
        <w:wordWrap w:val="0"/>
        <w:topLinePunct/>
        <w:spacing w:line="400" w:lineRule="exact"/>
        <w:ind w:left="840" w:hanging="840" w:hangingChars="350"/>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注：</w:t>
      </w:r>
      <w:r>
        <w:rPr>
          <w:rFonts w:asciiTheme="minorEastAsia" w:hAnsiTheme="minorEastAsia" w:eastAsiaTheme="minorEastAsia"/>
          <w:sz w:val="24"/>
          <w:szCs w:val="24"/>
          <w:highlight w:val="none"/>
        </w:rPr>
        <w:t>1</w:t>
      </w:r>
      <w:r>
        <w:rPr>
          <w:rFonts w:hint="eastAsia" w:asciiTheme="minorEastAsia" w:hAnsiTheme="minorEastAsia" w:eastAsiaTheme="minorEastAsia"/>
          <w:sz w:val="24"/>
          <w:szCs w:val="24"/>
          <w:highlight w:val="none"/>
        </w:rPr>
        <w:t>．投标人必须按“</w:t>
      </w:r>
      <w:r>
        <w:rPr>
          <w:rFonts w:hint="eastAsia" w:asciiTheme="minorEastAsia" w:hAnsiTheme="minorEastAsia" w:eastAsiaTheme="minorEastAsia"/>
          <w:bCs/>
          <w:sz w:val="24"/>
          <w:szCs w:val="24"/>
          <w:highlight w:val="none"/>
        </w:rPr>
        <w:t>报价明细表”的格式填写。</w:t>
      </w:r>
    </w:p>
    <w:p>
      <w:pPr>
        <w:wordWrap w:val="0"/>
        <w:topLinePunct/>
        <w:spacing w:line="400" w:lineRule="exact"/>
        <w:ind w:firstLine="465"/>
        <w:jc w:val="left"/>
        <w:rPr>
          <w:rFonts w:asciiTheme="minorEastAsia" w:hAnsiTheme="minorEastAsia" w:eastAsiaTheme="minorEastAsia"/>
          <w:bCs/>
          <w:sz w:val="24"/>
          <w:szCs w:val="24"/>
          <w:highlight w:val="none"/>
        </w:rPr>
      </w:pPr>
      <w:r>
        <w:rPr>
          <w:rFonts w:hint="eastAsia" w:asciiTheme="minorEastAsia" w:hAnsiTheme="minorEastAsia" w:eastAsiaTheme="minorEastAsia"/>
          <w:bCs/>
          <w:sz w:val="24"/>
          <w:szCs w:val="24"/>
          <w:highlight w:val="none"/>
        </w:rPr>
        <w:t>2．序号按招标项目技术要求中各个组成部分顺序填写，</w:t>
      </w:r>
      <w:r>
        <w:rPr>
          <w:rFonts w:hint="eastAsia" w:asciiTheme="minorEastAsia" w:hAnsiTheme="minorEastAsia" w:eastAsiaTheme="minorEastAsia"/>
          <w:sz w:val="24"/>
          <w:szCs w:val="24"/>
          <w:highlight w:val="none"/>
        </w:rPr>
        <w:t>否则投标文件规范性不得分。</w:t>
      </w:r>
    </w:p>
    <w:p>
      <w:pPr>
        <w:wordWrap w:val="0"/>
        <w:topLinePunct/>
        <w:spacing w:line="400" w:lineRule="exact"/>
        <w:ind w:firstLine="465"/>
        <w:jc w:val="left"/>
        <w:rPr>
          <w:rFonts w:asciiTheme="minorEastAsia" w:hAnsiTheme="minorEastAsia" w:eastAsiaTheme="minorEastAsia"/>
          <w:bCs/>
          <w:sz w:val="24"/>
          <w:szCs w:val="24"/>
          <w:highlight w:val="none"/>
        </w:rPr>
      </w:pPr>
      <w:r>
        <w:rPr>
          <w:rFonts w:hint="eastAsia" w:asciiTheme="minorEastAsia" w:hAnsiTheme="minorEastAsia" w:eastAsiaTheme="minorEastAsia"/>
          <w:bCs/>
          <w:sz w:val="24"/>
          <w:szCs w:val="24"/>
          <w:highlight w:val="none"/>
        </w:rPr>
        <w:t>3．</w:t>
      </w:r>
      <w:r>
        <w:rPr>
          <w:rFonts w:hint="eastAsia" w:asciiTheme="minorEastAsia" w:hAnsiTheme="minorEastAsia" w:eastAsiaTheme="minorEastAsia"/>
          <w:sz w:val="24"/>
          <w:szCs w:val="24"/>
          <w:highlight w:val="none"/>
        </w:rPr>
        <w:t>“</w:t>
      </w:r>
      <w:r>
        <w:rPr>
          <w:rFonts w:hint="eastAsia" w:asciiTheme="minorEastAsia" w:hAnsiTheme="minorEastAsia" w:eastAsiaTheme="minorEastAsia"/>
          <w:bCs/>
          <w:sz w:val="24"/>
          <w:szCs w:val="24"/>
          <w:highlight w:val="none"/>
        </w:rPr>
        <w:t>报价明细表”各项报价合计应当与“投标函”等处报价合计相等。</w:t>
      </w:r>
    </w:p>
    <w:p>
      <w:pPr>
        <w:wordWrap w:val="0"/>
        <w:topLinePunct/>
        <w:spacing w:line="360" w:lineRule="auto"/>
        <w:ind w:left="780" w:leftChars="200" w:hanging="360" w:hangingChars="150"/>
        <w:rPr>
          <w:rFonts w:asciiTheme="minorEastAsia" w:hAnsiTheme="minorEastAsia" w:eastAsiaTheme="minorEastAsia"/>
          <w:b/>
          <w:sz w:val="24"/>
          <w:szCs w:val="24"/>
          <w:highlight w:val="none"/>
        </w:rPr>
      </w:pPr>
      <w:r>
        <w:rPr>
          <w:rFonts w:hint="eastAsia" w:asciiTheme="minorEastAsia" w:hAnsiTheme="minorEastAsia" w:eastAsiaTheme="minorEastAsia"/>
          <w:sz w:val="24"/>
          <w:szCs w:val="24"/>
          <w:highlight w:val="none"/>
        </w:rPr>
        <w:t>4.按照《中华人民共和国政府采购法实施条例》等相关法规政策要求，成交结果公示内容包括主要中标或者成交标的的名称、规格型号、数量、单价、服务要求等内容。中标人的本表将在中标结果公示时一并公示。</w:t>
      </w:r>
    </w:p>
    <w:p>
      <w:pPr>
        <w:wordWrap w:val="0"/>
        <w:topLinePunct/>
        <w:spacing w:line="400" w:lineRule="exact"/>
        <w:ind w:left="840" w:hanging="840" w:hangingChars="350"/>
        <w:rPr>
          <w:rFonts w:asciiTheme="minorEastAsia" w:hAnsiTheme="minorEastAsia" w:eastAsiaTheme="minorEastAsia"/>
          <w:sz w:val="24"/>
          <w:szCs w:val="24"/>
          <w:highlight w:val="none"/>
        </w:rPr>
      </w:pPr>
    </w:p>
    <w:p>
      <w:pPr>
        <w:wordWrap w:val="0"/>
        <w:topLinePunct/>
        <w:spacing w:line="400" w:lineRule="exact"/>
        <w:ind w:left="840" w:hanging="840" w:hangingChars="350"/>
        <w:rPr>
          <w:rFonts w:asciiTheme="minorEastAsia" w:hAnsiTheme="minorEastAsia" w:eastAsiaTheme="minorEastAsia"/>
          <w:sz w:val="24"/>
          <w:szCs w:val="24"/>
          <w:highlight w:val="none"/>
        </w:rPr>
      </w:pPr>
    </w:p>
    <w:p>
      <w:pPr>
        <w:wordWrap w:val="0"/>
        <w:topLinePunct/>
        <w:spacing w:line="360" w:lineRule="auto"/>
        <w:ind w:left="843" w:hanging="843" w:hangingChars="350"/>
        <w:rPr>
          <w:rFonts w:asciiTheme="minorEastAsia" w:hAnsiTheme="minorEastAsia" w:eastAsiaTheme="minorEastAsia"/>
          <w:b/>
          <w:sz w:val="24"/>
          <w:szCs w:val="24"/>
          <w:highlight w:val="none"/>
        </w:rPr>
      </w:pPr>
    </w:p>
    <w:p>
      <w:pPr>
        <w:widowControl/>
        <w:jc w:val="left"/>
        <w:rPr>
          <w:rFonts w:asciiTheme="minorEastAsia" w:hAnsiTheme="minorEastAsia" w:eastAsiaTheme="minorEastAsia"/>
          <w:sz w:val="24"/>
          <w:szCs w:val="24"/>
          <w:highlight w:val="none"/>
        </w:rPr>
      </w:pPr>
      <w:r>
        <w:rPr>
          <w:rFonts w:asciiTheme="minorEastAsia" w:hAnsiTheme="minorEastAsia" w:eastAsiaTheme="minorEastAsia"/>
          <w:sz w:val="24"/>
          <w:szCs w:val="24"/>
          <w:highlight w:val="none"/>
        </w:rPr>
        <w:br w:type="page"/>
      </w:r>
    </w:p>
    <w:p>
      <w:pPr>
        <w:jc w:val="center"/>
        <w:rPr>
          <w:rFonts w:ascii="宋体" w:hAnsi="宋体" w:cs="宋体"/>
          <w:b/>
          <w:sz w:val="32"/>
          <w:highlight w:val="none"/>
        </w:rPr>
      </w:pPr>
      <w:r>
        <w:rPr>
          <w:rFonts w:hint="eastAsia" w:ascii="宋体" w:hAnsi="宋体" w:cs="宋体"/>
          <w:b/>
          <w:sz w:val="32"/>
          <w:highlight w:val="none"/>
        </w:rPr>
        <w:t>十一、投标技术服务响应表</w:t>
      </w:r>
    </w:p>
    <w:p>
      <w:pPr>
        <w:pStyle w:val="38"/>
        <w:rPr>
          <w:rFonts w:cs="宋体" w:asciiTheme="minorEastAsia" w:hAnsiTheme="minorEastAsia" w:eastAsiaTheme="minorEastAsia"/>
          <w:color w:val="000000"/>
          <w:szCs w:val="24"/>
          <w:highlight w:val="none"/>
        </w:rPr>
      </w:pPr>
    </w:p>
    <w:tbl>
      <w:tblPr>
        <w:tblStyle w:val="19"/>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0"/>
        <w:gridCol w:w="1246"/>
        <w:gridCol w:w="1421"/>
        <w:gridCol w:w="1701"/>
        <w:gridCol w:w="1306"/>
        <w:gridCol w:w="1144"/>
        <w:gridCol w:w="11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6" w:hRule="atLeast"/>
          <w:jc w:val="center"/>
        </w:trPr>
        <w:tc>
          <w:tcPr>
            <w:tcW w:w="560" w:type="dxa"/>
            <w:vAlign w:val="center"/>
          </w:tcPr>
          <w:p>
            <w:pPr>
              <w:pStyle w:val="38"/>
              <w:jc w:val="center"/>
              <w:rPr>
                <w:rFonts w:cs="宋体" w:asciiTheme="minorEastAsia" w:hAnsiTheme="minorEastAsia" w:eastAsiaTheme="minorEastAsia"/>
                <w:b/>
                <w:bCs/>
                <w:color w:val="000000"/>
                <w:szCs w:val="24"/>
                <w:highlight w:val="none"/>
              </w:rPr>
            </w:pPr>
            <w:r>
              <w:rPr>
                <w:rFonts w:hint="eastAsia" w:cs="宋体" w:asciiTheme="minorEastAsia" w:hAnsiTheme="minorEastAsia" w:eastAsiaTheme="minorEastAsia"/>
                <w:b/>
                <w:bCs/>
                <w:color w:val="000000"/>
                <w:szCs w:val="24"/>
                <w:highlight w:val="none"/>
              </w:rPr>
              <w:t>序号</w:t>
            </w:r>
          </w:p>
        </w:tc>
        <w:tc>
          <w:tcPr>
            <w:tcW w:w="1246" w:type="dxa"/>
            <w:vAlign w:val="center"/>
          </w:tcPr>
          <w:p>
            <w:pPr>
              <w:pStyle w:val="38"/>
              <w:jc w:val="center"/>
              <w:rPr>
                <w:rFonts w:cs="宋体" w:asciiTheme="minorEastAsia" w:hAnsiTheme="minorEastAsia" w:eastAsiaTheme="minorEastAsia"/>
                <w:b/>
                <w:bCs/>
                <w:color w:val="000000"/>
                <w:szCs w:val="24"/>
                <w:highlight w:val="none"/>
              </w:rPr>
            </w:pPr>
            <w:r>
              <w:rPr>
                <w:rFonts w:hint="eastAsia" w:cs="宋体" w:asciiTheme="minorEastAsia" w:hAnsiTheme="minorEastAsia" w:eastAsiaTheme="minorEastAsia"/>
                <w:b/>
                <w:bCs/>
                <w:color w:val="000000"/>
                <w:szCs w:val="24"/>
                <w:highlight w:val="none"/>
              </w:rPr>
              <w:t>货物/服务</w:t>
            </w:r>
          </w:p>
          <w:p>
            <w:pPr>
              <w:pStyle w:val="38"/>
              <w:jc w:val="center"/>
              <w:rPr>
                <w:rFonts w:cs="宋体" w:asciiTheme="minorEastAsia" w:hAnsiTheme="minorEastAsia" w:eastAsiaTheme="minorEastAsia"/>
                <w:b/>
                <w:bCs/>
                <w:color w:val="000000"/>
                <w:szCs w:val="24"/>
                <w:highlight w:val="none"/>
              </w:rPr>
            </w:pPr>
            <w:r>
              <w:rPr>
                <w:rFonts w:hint="eastAsia" w:cs="宋体" w:asciiTheme="minorEastAsia" w:hAnsiTheme="minorEastAsia" w:eastAsiaTheme="minorEastAsia"/>
                <w:b/>
                <w:bCs/>
                <w:color w:val="000000"/>
                <w:szCs w:val="24"/>
                <w:highlight w:val="none"/>
              </w:rPr>
              <w:t>名称</w:t>
            </w:r>
          </w:p>
        </w:tc>
        <w:tc>
          <w:tcPr>
            <w:tcW w:w="1421" w:type="dxa"/>
            <w:vAlign w:val="center"/>
          </w:tcPr>
          <w:p>
            <w:pPr>
              <w:pStyle w:val="38"/>
              <w:jc w:val="center"/>
              <w:rPr>
                <w:rFonts w:cs="宋体" w:asciiTheme="minorEastAsia" w:hAnsiTheme="minorEastAsia" w:eastAsiaTheme="minorEastAsia"/>
                <w:b/>
                <w:bCs/>
                <w:color w:val="000000"/>
                <w:szCs w:val="24"/>
                <w:highlight w:val="none"/>
              </w:rPr>
            </w:pPr>
            <w:r>
              <w:rPr>
                <w:rFonts w:hint="eastAsia" w:cs="宋体" w:asciiTheme="minorEastAsia" w:hAnsiTheme="minorEastAsia" w:eastAsiaTheme="minorEastAsia"/>
                <w:b/>
                <w:bCs/>
                <w:color w:val="000000"/>
                <w:szCs w:val="24"/>
                <w:highlight w:val="none"/>
              </w:rPr>
              <w:t>招标文件要求</w:t>
            </w:r>
          </w:p>
        </w:tc>
        <w:tc>
          <w:tcPr>
            <w:tcW w:w="1701" w:type="dxa"/>
            <w:vAlign w:val="center"/>
          </w:tcPr>
          <w:p>
            <w:pPr>
              <w:pStyle w:val="38"/>
              <w:jc w:val="center"/>
              <w:rPr>
                <w:rFonts w:cs="宋体" w:asciiTheme="minorEastAsia" w:hAnsiTheme="minorEastAsia" w:eastAsiaTheme="minorEastAsia"/>
                <w:b/>
                <w:bCs/>
                <w:color w:val="000000"/>
                <w:szCs w:val="24"/>
                <w:highlight w:val="none"/>
              </w:rPr>
            </w:pPr>
            <w:r>
              <w:rPr>
                <w:rFonts w:hint="eastAsia" w:cs="宋体" w:asciiTheme="minorEastAsia" w:hAnsiTheme="minorEastAsia" w:eastAsiaTheme="minorEastAsia"/>
                <w:b/>
                <w:bCs/>
                <w:color w:val="000000"/>
                <w:szCs w:val="24"/>
                <w:highlight w:val="none"/>
              </w:rPr>
              <w:t>投标货物/服务技术参数</w:t>
            </w:r>
          </w:p>
        </w:tc>
        <w:tc>
          <w:tcPr>
            <w:tcW w:w="1306" w:type="dxa"/>
            <w:vAlign w:val="center"/>
          </w:tcPr>
          <w:p>
            <w:pPr>
              <w:pStyle w:val="38"/>
              <w:jc w:val="center"/>
              <w:rPr>
                <w:rFonts w:cs="宋体" w:asciiTheme="minorEastAsia" w:hAnsiTheme="minorEastAsia" w:eastAsiaTheme="minorEastAsia"/>
                <w:b/>
                <w:bCs/>
                <w:color w:val="000000"/>
                <w:szCs w:val="24"/>
                <w:highlight w:val="none"/>
              </w:rPr>
            </w:pPr>
            <w:r>
              <w:rPr>
                <w:rFonts w:hint="eastAsia" w:cs="宋体" w:asciiTheme="minorEastAsia" w:hAnsiTheme="minorEastAsia" w:eastAsiaTheme="minorEastAsia"/>
                <w:b/>
                <w:bCs/>
                <w:color w:val="000000"/>
                <w:szCs w:val="24"/>
                <w:highlight w:val="none"/>
              </w:rPr>
              <w:t>偏离情况</w:t>
            </w:r>
          </w:p>
          <w:p>
            <w:pPr>
              <w:pStyle w:val="38"/>
              <w:jc w:val="center"/>
              <w:rPr>
                <w:rFonts w:cs="宋体" w:asciiTheme="minorEastAsia" w:hAnsiTheme="minorEastAsia" w:eastAsiaTheme="minorEastAsia"/>
                <w:b/>
                <w:bCs/>
                <w:color w:val="000000"/>
                <w:szCs w:val="24"/>
                <w:highlight w:val="none"/>
              </w:rPr>
            </w:pPr>
            <w:r>
              <w:rPr>
                <w:rFonts w:hint="eastAsia" w:cs="宋体" w:asciiTheme="minorEastAsia" w:hAnsiTheme="minorEastAsia" w:eastAsiaTheme="minorEastAsia"/>
                <w:b/>
                <w:bCs/>
                <w:color w:val="000000"/>
                <w:szCs w:val="24"/>
                <w:highlight w:val="none"/>
              </w:rPr>
              <w:t>（符合、正偏离或负偏离）</w:t>
            </w:r>
          </w:p>
        </w:tc>
        <w:tc>
          <w:tcPr>
            <w:tcW w:w="1144" w:type="dxa"/>
            <w:vAlign w:val="center"/>
          </w:tcPr>
          <w:p>
            <w:pPr>
              <w:pStyle w:val="38"/>
              <w:jc w:val="center"/>
              <w:rPr>
                <w:rFonts w:cs="宋体" w:asciiTheme="minorEastAsia" w:hAnsiTheme="minorEastAsia" w:eastAsiaTheme="minorEastAsia"/>
                <w:b/>
                <w:bCs/>
                <w:color w:val="000000"/>
                <w:szCs w:val="24"/>
                <w:highlight w:val="none"/>
              </w:rPr>
            </w:pPr>
            <w:r>
              <w:rPr>
                <w:rFonts w:hint="eastAsia" w:cs="宋体" w:asciiTheme="minorEastAsia" w:hAnsiTheme="minorEastAsia" w:eastAsiaTheme="minorEastAsia"/>
                <w:b/>
                <w:bCs/>
                <w:color w:val="000000"/>
                <w:szCs w:val="24"/>
                <w:highlight w:val="none"/>
              </w:rPr>
              <w:t>偏离项（将偏离的内容填入此列）</w:t>
            </w:r>
          </w:p>
        </w:tc>
        <w:tc>
          <w:tcPr>
            <w:tcW w:w="1144" w:type="dxa"/>
            <w:vAlign w:val="center"/>
          </w:tcPr>
          <w:p>
            <w:pPr>
              <w:pStyle w:val="38"/>
              <w:jc w:val="center"/>
              <w:rPr>
                <w:rFonts w:cs="宋体" w:asciiTheme="minorEastAsia" w:hAnsiTheme="minorEastAsia" w:eastAsiaTheme="minorEastAsia"/>
                <w:b/>
                <w:bCs/>
                <w:color w:val="000000"/>
                <w:szCs w:val="24"/>
                <w:highlight w:val="none"/>
              </w:rPr>
            </w:pPr>
            <w:r>
              <w:rPr>
                <w:rFonts w:hint="eastAsia" w:cs="宋体" w:asciiTheme="minorEastAsia" w:hAnsiTheme="minorEastAsia" w:eastAsiaTheme="minorEastAsia"/>
                <w:b/>
                <w:bCs/>
                <w:color w:val="000000"/>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560" w:type="dxa"/>
          </w:tcPr>
          <w:p>
            <w:pPr>
              <w:pStyle w:val="38"/>
              <w:rPr>
                <w:rFonts w:cs="宋体" w:asciiTheme="minorEastAsia" w:hAnsiTheme="minorEastAsia" w:eastAsiaTheme="minorEastAsia"/>
                <w:color w:val="000000"/>
                <w:szCs w:val="24"/>
                <w:highlight w:val="none"/>
              </w:rPr>
            </w:pPr>
          </w:p>
        </w:tc>
        <w:tc>
          <w:tcPr>
            <w:tcW w:w="1246" w:type="dxa"/>
          </w:tcPr>
          <w:p>
            <w:pPr>
              <w:pStyle w:val="38"/>
              <w:rPr>
                <w:rFonts w:cs="宋体" w:asciiTheme="minorEastAsia" w:hAnsiTheme="minorEastAsia" w:eastAsiaTheme="minorEastAsia"/>
                <w:color w:val="000000"/>
                <w:szCs w:val="24"/>
                <w:highlight w:val="none"/>
              </w:rPr>
            </w:pPr>
          </w:p>
        </w:tc>
        <w:tc>
          <w:tcPr>
            <w:tcW w:w="1421" w:type="dxa"/>
          </w:tcPr>
          <w:p>
            <w:pPr>
              <w:pStyle w:val="38"/>
              <w:rPr>
                <w:rFonts w:cs="宋体" w:asciiTheme="minorEastAsia" w:hAnsiTheme="minorEastAsia" w:eastAsiaTheme="minorEastAsia"/>
                <w:color w:val="000000"/>
                <w:szCs w:val="24"/>
                <w:highlight w:val="none"/>
              </w:rPr>
            </w:pPr>
          </w:p>
        </w:tc>
        <w:tc>
          <w:tcPr>
            <w:tcW w:w="1701" w:type="dxa"/>
          </w:tcPr>
          <w:p>
            <w:pPr>
              <w:pStyle w:val="38"/>
              <w:rPr>
                <w:rFonts w:cs="宋体" w:asciiTheme="minorEastAsia" w:hAnsiTheme="minorEastAsia" w:eastAsiaTheme="minorEastAsia"/>
                <w:color w:val="000000"/>
                <w:szCs w:val="24"/>
                <w:highlight w:val="none"/>
              </w:rPr>
            </w:pPr>
          </w:p>
        </w:tc>
        <w:tc>
          <w:tcPr>
            <w:tcW w:w="1306" w:type="dxa"/>
          </w:tcPr>
          <w:p>
            <w:pPr>
              <w:pStyle w:val="38"/>
              <w:rPr>
                <w:rFonts w:cs="宋体" w:asciiTheme="minorEastAsia" w:hAnsiTheme="minorEastAsia" w:eastAsiaTheme="minorEastAsia"/>
                <w:color w:val="000000"/>
                <w:szCs w:val="24"/>
                <w:highlight w:val="none"/>
              </w:rPr>
            </w:pPr>
          </w:p>
        </w:tc>
        <w:tc>
          <w:tcPr>
            <w:tcW w:w="1144" w:type="dxa"/>
          </w:tcPr>
          <w:p>
            <w:pPr>
              <w:pStyle w:val="38"/>
              <w:rPr>
                <w:rFonts w:cs="宋体" w:asciiTheme="minorEastAsia" w:hAnsiTheme="minorEastAsia" w:eastAsiaTheme="minorEastAsia"/>
                <w:color w:val="000000"/>
                <w:szCs w:val="24"/>
                <w:highlight w:val="none"/>
              </w:rPr>
            </w:pPr>
          </w:p>
        </w:tc>
        <w:tc>
          <w:tcPr>
            <w:tcW w:w="1144" w:type="dxa"/>
          </w:tcPr>
          <w:p>
            <w:pPr>
              <w:pStyle w:val="38"/>
              <w:rPr>
                <w:rFonts w:cs="宋体" w:asciiTheme="minorEastAsia" w:hAnsiTheme="minorEastAsia" w:eastAsiaTheme="minorEastAsia"/>
                <w:color w:val="000000"/>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560" w:type="dxa"/>
          </w:tcPr>
          <w:p>
            <w:pPr>
              <w:pStyle w:val="38"/>
              <w:rPr>
                <w:rFonts w:cs="宋体" w:asciiTheme="minorEastAsia" w:hAnsiTheme="minorEastAsia" w:eastAsiaTheme="minorEastAsia"/>
                <w:color w:val="000000"/>
                <w:szCs w:val="24"/>
                <w:highlight w:val="none"/>
              </w:rPr>
            </w:pPr>
          </w:p>
        </w:tc>
        <w:tc>
          <w:tcPr>
            <w:tcW w:w="1246" w:type="dxa"/>
          </w:tcPr>
          <w:p>
            <w:pPr>
              <w:pStyle w:val="38"/>
              <w:rPr>
                <w:rFonts w:cs="宋体" w:asciiTheme="minorEastAsia" w:hAnsiTheme="minorEastAsia" w:eastAsiaTheme="minorEastAsia"/>
                <w:color w:val="000000"/>
                <w:szCs w:val="24"/>
                <w:highlight w:val="none"/>
              </w:rPr>
            </w:pPr>
          </w:p>
        </w:tc>
        <w:tc>
          <w:tcPr>
            <w:tcW w:w="1421" w:type="dxa"/>
          </w:tcPr>
          <w:p>
            <w:pPr>
              <w:pStyle w:val="38"/>
              <w:rPr>
                <w:rFonts w:cs="宋体" w:asciiTheme="minorEastAsia" w:hAnsiTheme="minorEastAsia" w:eastAsiaTheme="minorEastAsia"/>
                <w:color w:val="000000"/>
                <w:szCs w:val="24"/>
                <w:highlight w:val="none"/>
              </w:rPr>
            </w:pPr>
          </w:p>
        </w:tc>
        <w:tc>
          <w:tcPr>
            <w:tcW w:w="1701" w:type="dxa"/>
          </w:tcPr>
          <w:p>
            <w:pPr>
              <w:pStyle w:val="38"/>
              <w:rPr>
                <w:rFonts w:cs="宋体" w:asciiTheme="minorEastAsia" w:hAnsiTheme="minorEastAsia" w:eastAsiaTheme="minorEastAsia"/>
                <w:color w:val="000000"/>
                <w:szCs w:val="24"/>
                <w:highlight w:val="none"/>
              </w:rPr>
            </w:pPr>
          </w:p>
        </w:tc>
        <w:tc>
          <w:tcPr>
            <w:tcW w:w="1306" w:type="dxa"/>
          </w:tcPr>
          <w:p>
            <w:pPr>
              <w:pStyle w:val="38"/>
              <w:rPr>
                <w:rFonts w:cs="宋体" w:asciiTheme="minorEastAsia" w:hAnsiTheme="minorEastAsia" w:eastAsiaTheme="minorEastAsia"/>
                <w:color w:val="000000"/>
                <w:szCs w:val="24"/>
                <w:highlight w:val="none"/>
              </w:rPr>
            </w:pPr>
          </w:p>
        </w:tc>
        <w:tc>
          <w:tcPr>
            <w:tcW w:w="1144" w:type="dxa"/>
          </w:tcPr>
          <w:p>
            <w:pPr>
              <w:pStyle w:val="38"/>
              <w:rPr>
                <w:rFonts w:cs="宋体" w:asciiTheme="minorEastAsia" w:hAnsiTheme="minorEastAsia" w:eastAsiaTheme="minorEastAsia"/>
                <w:color w:val="000000"/>
                <w:szCs w:val="24"/>
                <w:highlight w:val="none"/>
              </w:rPr>
            </w:pPr>
          </w:p>
        </w:tc>
        <w:tc>
          <w:tcPr>
            <w:tcW w:w="1144" w:type="dxa"/>
          </w:tcPr>
          <w:p>
            <w:pPr>
              <w:pStyle w:val="38"/>
              <w:rPr>
                <w:rFonts w:cs="宋体" w:asciiTheme="minorEastAsia" w:hAnsiTheme="minorEastAsia" w:eastAsiaTheme="minorEastAsia"/>
                <w:color w:val="000000"/>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560" w:type="dxa"/>
          </w:tcPr>
          <w:p>
            <w:pPr>
              <w:pStyle w:val="38"/>
              <w:rPr>
                <w:rFonts w:cs="宋体" w:asciiTheme="minorEastAsia" w:hAnsiTheme="minorEastAsia" w:eastAsiaTheme="minorEastAsia"/>
                <w:color w:val="000000"/>
                <w:szCs w:val="24"/>
                <w:highlight w:val="none"/>
              </w:rPr>
            </w:pPr>
          </w:p>
        </w:tc>
        <w:tc>
          <w:tcPr>
            <w:tcW w:w="1246" w:type="dxa"/>
          </w:tcPr>
          <w:p>
            <w:pPr>
              <w:pStyle w:val="38"/>
              <w:rPr>
                <w:rFonts w:cs="宋体" w:asciiTheme="minorEastAsia" w:hAnsiTheme="minorEastAsia" w:eastAsiaTheme="minorEastAsia"/>
                <w:color w:val="000000"/>
                <w:szCs w:val="24"/>
                <w:highlight w:val="none"/>
              </w:rPr>
            </w:pPr>
          </w:p>
        </w:tc>
        <w:tc>
          <w:tcPr>
            <w:tcW w:w="1421" w:type="dxa"/>
          </w:tcPr>
          <w:p>
            <w:pPr>
              <w:pStyle w:val="38"/>
              <w:rPr>
                <w:rFonts w:cs="宋体" w:asciiTheme="minorEastAsia" w:hAnsiTheme="minorEastAsia" w:eastAsiaTheme="minorEastAsia"/>
                <w:color w:val="000000"/>
                <w:szCs w:val="24"/>
                <w:highlight w:val="none"/>
              </w:rPr>
            </w:pPr>
          </w:p>
        </w:tc>
        <w:tc>
          <w:tcPr>
            <w:tcW w:w="1701" w:type="dxa"/>
          </w:tcPr>
          <w:p>
            <w:pPr>
              <w:pStyle w:val="38"/>
              <w:rPr>
                <w:rFonts w:cs="宋体" w:asciiTheme="minorEastAsia" w:hAnsiTheme="minorEastAsia" w:eastAsiaTheme="minorEastAsia"/>
                <w:color w:val="000000"/>
                <w:szCs w:val="24"/>
                <w:highlight w:val="none"/>
              </w:rPr>
            </w:pPr>
          </w:p>
        </w:tc>
        <w:tc>
          <w:tcPr>
            <w:tcW w:w="1306" w:type="dxa"/>
          </w:tcPr>
          <w:p>
            <w:pPr>
              <w:pStyle w:val="38"/>
              <w:rPr>
                <w:rFonts w:cs="宋体" w:asciiTheme="minorEastAsia" w:hAnsiTheme="minorEastAsia" w:eastAsiaTheme="minorEastAsia"/>
                <w:color w:val="000000"/>
                <w:szCs w:val="24"/>
                <w:highlight w:val="none"/>
              </w:rPr>
            </w:pPr>
          </w:p>
        </w:tc>
        <w:tc>
          <w:tcPr>
            <w:tcW w:w="1144" w:type="dxa"/>
          </w:tcPr>
          <w:p>
            <w:pPr>
              <w:pStyle w:val="38"/>
              <w:rPr>
                <w:rFonts w:cs="宋体" w:asciiTheme="minorEastAsia" w:hAnsiTheme="minorEastAsia" w:eastAsiaTheme="minorEastAsia"/>
                <w:color w:val="000000"/>
                <w:szCs w:val="24"/>
                <w:highlight w:val="none"/>
              </w:rPr>
            </w:pPr>
          </w:p>
        </w:tc>
        <w:tc>
          <w:tcPr>
            <w:tcW w:w="1144" w:type="dxa"/>
          </w:tcPr>
          <w:p>
            <w:pPr>
              <w:pStyle w:val="38"/>
              <w:rPr>
                <w:rFonts w:cs="宋体" w:asciiTheme="minorEastAsia" w:hAnsiTheme="minorEastAsia" w:eastAsiaTheme="minorEastAsia"/>
                <w:color w:val="000000"/>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560" w:type="dxa"/>
          </w:tcPr>
          <w:p>
            <w:pPr>
              <w:pStyle w:val="38"/>
              <w:rPr>
                <w:rFonts w:cs="宋体" w:asciiTheme="minorEastAsia" w:hAnsiTheme="minorEastAsia" w:eastAsiaTheme="minorEastAsia"/>
                <w:color w:val="000000"/>
                <w:szCs w:val="24"/>
                <w:highlight w:val="none"/>
              </w:rPr>
            </w:pPr>
          </w:p>
        </w:tc>
        <w:tc>
          <w:tcPr>
            <w:tcW w:w="1246" w:type="dxa"/>
          </w:tcPr>
          <w:p>
            <w:pPr>
              <w:pStyle w:val="38"/>
              <w:rPr>
                <w:rFonts w:cs="宋体" w:asciiTheme="minorEastAsia" w:hAnsiTheme="minorEastAsia" w:eastAsiaTheme="minorEastAsia"/>
                <w:color w:val="000000"/>
                <w:szCs w:val="24"/>
                <w:highlight w:val="none"/>
              </w:rPr>
            </w:pPr>
          </w:p>
        </w:tc>
        <w:tc>
          <w:tcPr>
            <w:tcW w:w="1421" w:type="dxa"/>
          </w:tcPr>
          <w:p>
            <w:pPr>
              <w:pStyle w:val="38"/>
              <w:rPr>
                <w:rFonts w:cs="宋体" w:asciiTheme="minorEastAsia" w:hAnsiTheme="minorEastAsia" w:eastAsiaTheme="minorEastAsia"/>
                <w:color w:val="000000"/>
                <w:szCs w:val="24"/>
                <w:highlight w:val="none"/>
              </w:rPr>
            </w:pPr>
          </w:p>
        </w:tc>
        <w:tc>
          <w:tcPr>
            <w:tcW w:w="1701" w:type="dxa"/>
          </w:tcPr>
          <w:p>
            <w:pPr>
              <w:pStyle w:val="38"/>
              <w:rPr>
                <w:rFonts w:cs="宋体" w:asciiTheme="minorEastAsia" w:hAnsiTheme="minorEastAsia" w:eastAsiaTheme="minorEastAsia"/>
                <w:color w:val="000000"/>
                <w:szCs w:val="24"/>
                <w:highlight w:val="none"/>
              </w:rPr>
            </w:pPr>
          </w:p>
        </w:tc>
        <w:tc>
          <w:tcPr>
            <w:tcW w:w="1306" w:type="dxa"/>
          </w:tcPr>
          <w:p>
            <w:pPr>
              <w:pStyle w:val="38"/>
              <w:rPr>
                <w:rFonts w:cs="宋体" w:asciiTheme="minorEastAsia" w:hAnsiTheme="minorEastAsia" w:eastAsiaTheme="minorEastAsia"/>
                <w:color w:val="000000"/>
                <w:szCs w:val="24"/>
                <w:highlight w:val="none"/>
              </w:rPr>
            </w:pPr>
          </w:p>
        </w:tc>
        <w:tc>
          <w:tcPr>
            <w:tcW w:w="1144" w:type="dxa"/>
          </w:tcPr>
          <w:p>
            <w:pPr>
              <w:pStyle w:val="38"/>
              <w:rPr>
                <w:rFonts w:cs="宋体" w:asciiTheme="minorEastAsia" w:hAnsiTheme="minorEastAsia" w:eastAsiaTheme="minorEastAsia"/>
                <w:color w:val="000000"/>
                <w:szCs w:val="24"/>
                <w:highlight w:val="none"/>
              </w:rPr>
            </w:pPr>
          </w:p>
        </w:tc>
        <w:tc>
          <w:tcPr>
            <w:tcW w:w="1144" w:type="dxa"/>
          </w:tcPr>
          <w:p>
            <w:pPr>
              <w:pStyle w:val="38"/>
              <w:rPr>
                <w:rFonts w:cs="宋体" w:asciiTheme="minorEastAsia" w:hAnsiTheme="minorEastAsia" w:eastAsiaTheme="minorEastAsia"/>
                <w:color w:val="000000"/>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560" w:type="dxa"/>
          </w:tcPr>
          <w:p>
            <w:pPr>
              <w:pStyle w:val="38"/>
              <w:rPr>
                <w:rFonts w:cs="宋体" w:asciiTheme="minorEastAsia" w:hAnsiTheme="minorEastAsia" w:eastAsiaTheme="minorEastAsia"/>
                <w:color w:val="000000"/>
                <w:szCs w:val="24"/>
                <w:highlight w:val="none"/>
              </w:rPr>
            </w:pPr>
          </w:p>
        </w:tc>
        <w:tc>
          <w:tcPr>
            <w:tcW w:w="1246" w:type="dxa"/>
          </w:tcPr>
          <w:p>
            <w:pPr>
              <w:pStyle w:val="38"/>
              <w:rPr>
                <w:rFonts w:cs="宋体" w:asciiTheme="minorEastAsia" w:hAnsiTheme="minorEastAsia" w:eastAsiaTheme="minorEastAsia"/>
                <w:color w:val="000000"/>
                <w:szCs w:val="24"/>
                <w:highlight w:val="none"/>
              </w:rPr>
            </w:pPr>
          </w:p>
        </w:tc>
        <w:tc>
          <w:tcPr>
            <w:tcW w:w="1421" w:type="dxa"/>
          </w:tcPr>
          <w:p>
            <w:pPr>
              <w:pStyle w:val="38"/>
              <w:rPr>
                <w:rFonts w:cs="宋体" w:asciiTheme="minorEastAsia" w:hAnsiTheme="minorEastAsia" w:eastAsiaTheme="minorEastAsia"/>
                <w:color w:val="000000"/>
                <w:szCs w:val="24"/>
                <w:highlight w:val="none"/>
              </w:rPr>
            </w:pPr>
          </w:p>
        </w:tc>
        <w:tc>
          <w:tcPr>
            <w:tcW w:w="1701" w:type="dxa"/>
          </w:tcPr>
          <w:p>
            <w:pPr>
              <w:pStyle w:val="38"/>
              <w:rPr>
                <w:rFonts w:cs="宋体" w:asciiTheme="minorEastAsia" w:hAnsiTheme="minorEastAsia" w:eastAsiaTheme="minorEastAsia"/>
                <w:color w:val="000000"/>
                <w:szCs w:val="24"/>
                <w:highlight w:val="none"/>
              </w:rPr>
            </w:pPr>
          </w:p>
        </w:tc>
        <w:tc>
          <w:tcPr>
            <w:tcW w:w="1306" w:type="dxa"/>
          </w:tcPr>
          <w:p>
            <w:pPr>
              <w:pStyle w:val="38"/>
              <w:rPr>
                <w:rFonts w:cs="宋体" w:asciiTheme="minorEastAsia" w:hAnsiTheme="minorEastAsia" w:eastAsiaTheme="minorEastAsia"/>
                <w:color w:val="000000"/>
                <w:szCs w:val="24"/>
                <w:highlight w:val="none"/>
              </w:rPr>
            </w:pPr>
          </w:p>
        </w:tc>
        <w:tc>
          <w:tcPr>
            <w:tcW w:w="1144" w:type="dxa"/>
          </w:tcPr>
          <w:p>
            <w:pPr>
              <w:pStyle w:val="38"/>
              <w:rPr>
                <w:rFonts w:cs="宋体" w:asciiTheme="minorEastAsia" w:hAnsiTheme="minorEastAsia" w:eastAsiaTheme="minorEastAsia"/>
                <w:color w:val="000000"/>
                <w:szCs w:val="24"/>
                <w:highlight w:val="none"/>
              </w:rPr>
            </w:pPr>
          </w:p>
        </w:tc>
        <w:tc>
          <w:tcPr>
            <w:tcW w:w="1144" w:type="dxa"/>
          </w:tcPr>
          <w:p>
            <w:pPr>
              <w:pStyle w:val="38"/>
              <w:rPr>
                <w:rFonts w:cs="宋体" w:asciiTheme="minorEastAsia" w:hAnsiTheme="minorEastAsia" w:eastAsiaTheme="minorEastAsia"/>
                <w:color w:val="000000"/>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560" w:type="dxa"/>
          </w:tcPr>
          <w:p>
            <w:pPr>
              <w:pStyle w:val="38"/>
              <w:rPr>
                <w:rFonts w:cs="宋体" w:asciiTheme="minorEastAsia" w:hAnsiTheme="minorEastAsia" w:eastAsiaTheme="minorEastAsia"/>
                <w:color w:val="000000"/>
                <w:szCs w:val="24"/>
                <w:highlight w:val="none"/>
              </w:rPr>
            </w:pPr>
          </w:p>
        </w:tc>
        <w:tc>
          <w:tcPr>
            <w:tcW w:w="1246" w:type="dxa"/>
          </w:tcPr>
          <w:p>
            <w:pPr>
              <w:pStyle w:val="38"/>
              <w:rPr>
                <w:rFonts w:cs="宋体" w:asciiTheme="minorEastAsia" w:hAnsiTheme="minorEastAsia" w:eastAsiaTheme="minorEastAsia"/>
                <w:color w:val="000000"/>
                <w:szCs w:val="24"/>
                <w:highlight w:val="none"/>
              </w:rPr>
            </w:pPr>
          </w:p>
        </w:tc>
        <w:tc>
          <w:tcPr>
            <w:tcW w:w="1421" w:type="dxa"/>
          </w:tcPr>
          <w:p>
            <w:pPr>
              <w:pStyle w:val="38"/>
              <w:rPr>
                <w:rFonts w:cs="宋体" w:asciiTheme="minorEastAsia" w:hAnsiTheme="minorEastAsia" w:eastAsiaTheme="minorEastAsia"/>
                <w:color w:val="000000"/>
                <w:szCs w:val="24"/>
                <w:highlight w:val="none"/>
              </w:rPr>
            </w:pPr>
          </w:p>
        </w:tc>
        <w:tc>
          <w:tcPr>
            <w:tcW w:w="1701" w:type="dxa"/>
          </w:tcPr>
          <w:p>
            <w:pPr>
              <w:pStyle w:val="38"/>
              <w:rPr>
                <w:rFonts w:cs="宋体" w:asciiTheme="minorEastAsia" w:hAnsiTheme="minorEastAsia" w:eastAsiaTheme="minorEastAsia"/>
                <w:color w:val="000000"/>
                <w:szCs w:val="24"/>
                <w:highlight w:val="none"/>
              </w:rPr>
            </w:pPr>
          </w:p>
        </w:tc>
        <w:tc>
          <w:tcPr>
            <w:tcW w:w="1306" w:type="dxa"/>
          </w:tcPr>
          <w:p>
            <w:pPr>
              <w:pStyle w:val="38"/>
              <w:rPr>
                <w:rFonts w:cs="宋体" w:asciiTheme="minorEastAsia" w:hAnsiTheme="minorEastAsia" w:eastAsiaTheme="minorEastAsia"/>
                <w:color w:val="000000"/>
                <w:szCs w:val="24"/>
                <w:highlight w:val="none"/>
              </w:rPr>
            </w:pPr>
          </w:p>
        </w:tc>
        <w:tc>
          <w:tcPr>
            <w:tcW w:w="1144" w:type="dxa"/>
          </w:tcPr>
          <w:p>
            <w:pPr>
              <w:pStyle w:val="38"/>
              <w:rPr>
                <w:rFonts w:cs="宋体" w:asciiTheme="minorEastAsia" w:hAnsiTheme="minorEastAsia" w:eastAsiaTheme="minorEastAsia"/>
                <w:color w:val="000000"/>
                <w:szCs w:val="24"/>
                <w:highlight w:val="none"/>
              </w:rPr>
            </w:pPr>
          </w:p>
        </w:tc>
        <w:tc>
          <w:tcPr>
            <w:tcW w:w="1144" w:type="dxa"/>
          </w:tcPr>
          <w:p>
            <w:pPr>
              <w:pStyle w:val="38"/>
              <w:rPr>
                <w:rFonts w:cs="宋体" w:asciiTheme="minorEastAsia" w:hAnsiTheme="minorEastAsia" w:eastAsiaTheme="minorEastAsia"/>
                <w:color w:val="000000"/>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60" w:type="dxa"/>
          </w:tcPr>
          <w:p>
            <w:pPr>
              <w:pStyle w:val="38"/>
              <w:rPr>
                <w:rFonts w:cs="宋体" w:asciiTheme="minorEastAsia" w:hAnsiTheme="minorEastAsia" w:eastAsiaTheme="minorEastAsia"/>
                <w:color w:val="000000"/>
                <w:szCs w:val="24"/>
                <w:highlight w:val="none"/>
              </w:rPr>
            </w:pPr>
          </w:p>
        </w:tc>
        <w:tc>
          <w:tcPr>
            <w:tcW w:w="1246" w:type="dxa"/>
          </w:tcPr>
          <w:p>
            <w:pPr>
              <w:pStyle w:val="38"/>
              <w:rPr>
                <w:rFonts w:cs="宋体" w:asciiTheme="minorEastAsia" w:hAnsiTheme="minorEastAsia" w:eastAsiaTheme="minorEastAsia"/>
                <w:color w:val="000000"/>
                <w:szCs w:val="24"/>
                <w:highlight w:val="none"/>
              </w:rPr>
            </w:pPr>
          </w:p>
        </w:tc>
        <w:tc>
          <w:tcPr>
            <w:tcW w:w="1421" w:type="dxa"/>
          </w:tcPr>
          <w:p>
            <w:pPr>
              <w:pStyle w:val="38"/>
              <w:rPr>
                <w:rFonts w:cs="宋体" w:asciiTheme="minorEastAsia" w:hAnsiTheme="minorEastAsia" w:eastAsiaTheme="minorEastAsia"/>
                <w:color w:val="000000"/>
                <w:szCs w:val="24"/>
                <w:highlight w:val="none"/>
              </w:rPr>
            </w:pPr>
          </w:p>
        </w:tc>
        <w:tc>
          <w:tcPr>
            <w:tcW w:w="1701" w:type="dxa"/>
          </w:tcPr>
          <w:p>
            <w:pPr>
              <w:pStyle w:val="38"/>
              <w:rPr>
                <w:rFonts w:cs="宋体" w:asciiTheme="minorEastAsia" w:hAnsiTheme="minorEastAsia" w:eastAsiaTheme="minorEastAsia"/>
                <w:color w:val="000000"/>
                <w:szCs w:val="24"/>
                <w:highlight w:val="none"/>
              </w:rPr>
            </w:pPr>
          </w:p>
        </w:tc>
        <w:tc>
          <w:tcPr>
            <w:tcW w:w="1306" w:type="dxa"/>
          </w:tcPr>
          <w:p>
            <w:pPr>
              <w:pStyle w:val="38"/>
              <w:rPr>
                <w:rFonts w:cs="宋体" w:asciiTheme="minorEastAsia" w:hAnsiTheme="minorEastAsia" w:eastAsiaTheme="minorEastAsia"/>
                <w:color w:val="000000"/>
                <w:szCs w:val="24"/>
                <w:highlight w:val="none"/>
              </w:rPr>
            </w:pPr>
          </w:p>
        </w:tc>
        <w:tc>
          <w:tcPr>
            <w:tcW w:w="1144" w:type="dxa"/>
          </w:tcPr>
          <w:p>
            <w:pPr>
              <w:pStyle w:val="38"/>
              <w:rPr>
                <w:rFonts w:cs="宋体" w:asciiTheme="minorEastAsia" w:hAnsiTheme="minorEastAsia" w:eastAsiaTheme="minorEastAsia"/>
                <w:color w:val="000000"/>
                <w:szCs w:val="24"/>
                <w:highlight w:val="none"/>
              </w:rPr>
            </w:pPr>
          </w:p>
        </w:tc>
        <w:tc>
          <w:tcPr>
            <w:tcW w:w="1144" w:type="dxa"/>
          </w:tcPr>
          <w:p>
            <w:pPr>
              <w:pStyle w:val="38"/>
              <w:rPr>
                <w:rFonts w:cs="宋体" w:asciiTheme="minorEastAsia" w:hAnsiTheme="minorEastAsia" w:eastAsiaTheme="minorEastAsia"/>
                <w:color w:val="000000"/>
                <w:szCs w:val="24"/>
                <w:highlight w:val="none"/>
              </w:rPr>
            </w:pPr>
          </w:p>
        </w:tc>
      </w:tr>
    </w:tbl>
    <w:p>
      <w:pPr>
        <w:topLinePunct/>
        <w:spacing w:line="440" w:lineRule="exact"/>
        <w:ind w:left="602" w:leftChars="57" w:hanging="482" w:hangingChars="200"/>
        <w:rPr>
          <w:rFonts w:asciiTheme="minorEastAsia" w:hAnsiTheme="minorEastAsia" w:eastAsiaTheme="minorEastAsia"/>
          <w:b/>
          <w:bCs/>
          <w:sz w:val="24"/>
          <w:szCs w:val="24"/>
          <w:highlight w:val="none"/>
        </w:rPr>
      </w:pPr>
      <w:r>
        <w:rPr>
          <w:rFonts w:hint="eastAsia" w:asciiTheme="minorEastAsia" w:hAnsiTheme="minorEastAsia" w:eastAsiaTheme="minorEastAsia"/>
          <w:b/>
          <w:bCs/>
          <w:sz w:val="24"/>
          <w:szCs w:val="24"/>
          <w:highlight w:val="none"/>
        </w:rPr>
        <w:t>注</w:t>
      </w:r>
      <w:r>
        <w:rPr>
          <w:rFonts w:hint="eastAsia" w:asciiTheme="minorEastAsia" w:hAnsiTheme="minorEastAsia" w:eastAsiaTheme="minorEastAsia"/>
          <w:b/>
          <w:bCs/>
          <w:sz w:val="24"/>
          <w:szCs w:val="24"/>
          <w:highlight w:val="none"/>
          <w:u w:val="single"/>
        </w:rPr>
        <w:t>：1.投标人须按照招标项目技术要求认真响应，符合无偏离的项目不填写视为完全响应招标文件技术服务参数要求，只填写有偏离的项目（含正、负偏离）。</w:t>
      </w:r>
    </w:p>
    <w:p>
      <w:pPr>
        <w:topLinePunct/>
        <w:spacing w:line="440" w:lineRule="exact"/>
        <w:ind w:left="540" w:leftChars="257"/>
        <w:rPr>
          <w:rFonts w:asciiTheme="minorEastAsia" w:hAnsiTheme="minorEastAsia" w:eastAsiaTheme="minorEastAsia"/>
          <w:b/>
          <w:bCs/>
          <w:sz w:val="24"/>
          <w:szCs w:val="24"/>
          <w:highlight w:val="none"/>
        </w:rPr>
      </w:pPr>
      <w:r>
        <w:rPr>
          <w:rFonts w:hint="eastAsia" w:asciiTheme="minorEastAsia" w:hAnsiTheme="minorEastAsia" w:eastAsiaTheme="minorEastAsia"/>
          <w:b/>
          <w:bCs/>
          <w:sz w:val="24"/>
          <w:szCs w:val="24"/>
          <w:highlight w:val="none"/>
        </w:rPr>
        <w:t>2．供应商必须据实填写，不得虚假响应，否则将取消其投标或中标资格，并按照相关法律法规进行从重处理。</w:t>
      </w:r>
    </w:p>
    <w:p>
      <w:pPr>
        <w:topLinePunct/>
        <w:spacing w:line="440" w:lineRule="exact"/>
        <w:ind w:left="540" w:leftChars="257"/>
        <w:rPr>
          <w:rFonts w:asciiTheme="minorEastAsia" w:hAnsiTheme="minorEastAsia" w:eastAsiaTheme="minorEastAsia"/>
          <w:b/>
          <w:bCs/>
          <w:sz w:val="24"/>
          <w:szCs w:val="24"/>
          <w:highlight w:val="none"/>
          <w:u w:val="single"/>
        </w:rPr>
      </w:pPr>
      <w:r>
        <w:rPr>
          <w:rFonts w:hint="eastAsia" w:asciiTheme="minorEastAsia" w:hAnsiTheme="minorEastAsia" w:eastAsiaTheme="minorEastAsia"/>
          <w:b/>
          <w:bCs/>
          <w:sz w:val="24"/>
          <w:szCs w:val="24"/>
          <w:highlight w:val="none"/>
          <w:u w:val="single"/>
        </w:rPr>
        <w:t>3.采购文件中要求提供检测报告的应注明该项技术参数的检测报告在投标文件中的页码（单独列明或在本表中填写）未编写的投标文件规范性不得分。</w:t>
      </w:r>
    </w:p>
    <w:p>
      <w:pPr>
        <w:spacing w:line="440" w:lineRule="exact"/>
        <w:rPr>
          <w:rFonts w:asciiTheme="minorEastAsia" w:hAnsiTheme="minorEastAsia" w:eastAsiaTheme="minorEastAsia"/>
          <w:b/>
          <w:kern w:val="21"/>
          <w:sz w:val="24"/>
          <w:szCs w:val="24"/>
          <w:highlight w:val="none"/>
          <w:u w:val="single"/>
        </w:rPr>
      </w:pPr>
    </w:p>
    <w:p>
      <w:pPr>
        <w:wordWrap w:val="0"/>
        <w:topLinePunct/>
        <w:spacing w:line="360" w:lineRule="auto"/>
        <w:rPr>
          <w:rFonts w:asciiTheme="minorEastAsia" w:hAnsiTheme="minorEastAsia" w:eastAsiaTheme="minorEastAsia"/>
          <w:sz w:val="24"/>
          <w:szCs w:val="24"/>
          <w:highlight w:val="none"/>
        </w:rPr>
      </w:pPr>
    </w:p>
    <w:p>
      <w:pPr>
        <w:wordWrap w:val="0"/>
        <w:topLinePunct/>
        <w:spacing w:line="360" w:lineRule="auto"/>
        <w:rPr>
          <w:rFonts w:asciiTheme="minorEastAsia" w:hAnsiTheme="minorEastAsia" w:eastAsiaTheme="minorEastAsia"/>
          <w:sz w:val="24"/>
          <w:szCs w:val="24"/>
          <w:highlight w:val="none"/>
        </w:rPr>
      </w:pPr>
    </w:p>
    <w:p>
      <w:pPr>
        <w:wordWrap w:val="0"/>
        <w:topLinePunct/>
        <w:spacing w:line="360" w:lineRule="auto"/>
        <w:rPr>
          <w:rFonts w:asciiTheme="minorEastAsia" w:hAnsiTheme="minorEastAsia" w:eastAsiaTheme="minorEastAsia"/>
          <w:sz w:val="24"/>
          <w:szCs w:val="24"/>
          <w:highlight w:val="none"/>
        </w:rPr>
      </w:pPr>
    </w:p>
    <w:p>
      <w:pPr>
        <w:wordWrap w:val="0"/>
        <w:topLinePunct/>
        <w:spacing w:line="360" w:lineRule="auto"/>
        <w:rPr>
          <w:rFonts w:asciiTheme="minorEastAsia" w:hAnsiTheme="minorEastAsia" w:eastAsiaTheme="minorEastAsia"/>
          <w:sz w:val="24"/>
          <w:szCs w:val="24"/>
          <w:highlight w:val="none"/>
        </w:rPr>
      </w:pPr>
    </w:p>
    <w:p>
      <w:pPr>
        <w:wordWrap w:val="0"/>
        <w:topLinePunct/>
        <w:spacing w:line="360" w:lineRule="auto"/>
        <w:rPr>
          <w:rFonts w:ascii="宋体" w:hAnsi="宋体"/>
          <w:sz w:val="24"/>
          <w:highlight w:val="none"/>
        </w:rPr>
      </w:pPr>
    </w:p>
    <w:p>
      <w:pPr>
        <w:jc w:val="center"/>
        <w:rPr>
          <w:rFonts w:ascii="宋体" w:hAnsi="宋体" w:cs="宋体"/>
          <w:b/>
          <w:sz w:val="32"/>
          <w:highlight w:val="none"/>
        </w:rPr>
      </w:pPr>
      <w:r>
        <w:rPr>
          <w:rFonts w:hint="eastAsia" w:ascii="宋体" w:hAnsi="宋体" w:cs="宋体"/>
          <w:b/>
          <w:sz w:val="32"/>
          <w:highlight w:val="none"/>
        </w:rPr>
        <w:t>十二、技术、服务方案和售后服务措施</w:t>
      </w:r>
    </w:p>
    <w:p>
      <w:pPr>
        <w:wordWrap w:val="0"/>
        <w:topLinePunct/>
        <w:spacing w:line="360" w:lineRule="auto"/>
        <w:rPr>
          <w:rFonts w:ascii="宋体" w:hAnsi="宋体"/>
          <w:bCs/>
          <w:sz w:val="24"/>
          <w:highlight w:val="none"/>
        </w:rPr>
      </w:pPr>
    </w:p>
    <w:p>
      <w:pPr>
        <w:spacing w:line="400" w:lineRule="exact"/>
        <w:rPr>
          <w:rFonts w:ascii="宋体" w:hAnsi="宋体"/>
          <w:bCs/>
          <w:sz w:val="24"/>
          <w:szCs w:val="24"/>
          <w:highlight w:val="none"/>
        </w:rPr>
      </w:pPr>
      <w:r>
        <w:rPr>
          <w:rFonts w:hint="eastAsia" w:ascii="宋体" w:hAnsi="宋体"/>
          <w:bCs/>
          <w:sz w:val="24"/>
          <w:szCs w:val="24"/>
          <w:highlight w:val="none"/>
        </w:rPr>
        <w:t>根据要求制定技术、服务方案和服务措施。</w:t>
      </w:r>
    </w:p>
    <w:p>
      <w:pPr>
        <w:wordWrap w:val="0"/>
        <w:topLinePunct/>
        <w:spacing w:line="400" w:lineRule="exact"/>
        <w:ind w:firstLine="361" w:firstLineChars="150"/>
        <w:rPr>
          <w:rFonts w:ascii="宋体" w:hAnsi="宋体" w:cs="宋体"/>
          <w:color w:val="000000"/>
          <w:sz w:val="24"/>
          <w:szCs w:val="24"/>
          <w:highlight w:val="none"/>
        </w:rPr>
      </w:pPr>
      <w:r>
        <w:rPr>
          <w:rFonts w:hint="eastAsia" w:ascii="宋体" w:hAnsi="宋体"/>
          <w:b/>
          <w:bCs/>
          <w:sz w:val="24"/>
          <w:highlight w:val="none"/>
        </w:rPr>
        <w:t xml:space="preserve">附表：投标人本项目管理、技术、服务人员情况表  </w:t>
      </w:r>
    </w:p>
    <w:tbl>
      <w:tblPr>
        <w:tblStyle w:val="19"/>
        <w:tblW w:w="87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810"/>
        <w:gridCol w:w="781"/>
        <w:gridCol w:w="841"/>
        <w:gridCol w:w="811"/>
        <w:gridCol w:w="1183"/>
        <w:gridCol w:w="980"/>
        <w:gridCol w:w="1081"/>
        <w:gridCol w:w="10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1186" w:type="dxa"/>
            <w:vMerge w:val="restart"/>
            <w:vAlign w:val="center"/>
          </w:tcPr>
          <w:p>
            <w:pPr>
              <w:spacing w:line="400" w:lineRule="exact"/>
              <w:jc w:val="center"/>
              <w:rPr>
                <w:rFonts w:cs="宋体" w:asciiTheme="minorEastAsia" w:hAnsiTheme="minorEastAsia" w:eastAsiaTheme="minorEastAsia"/>
                <w:b/>
                <w:bCs/>
                <w:color w:val="000000"/>
                <w:sz w:val="24"/>
                <w:szCs w:val="24"/>
                <w:highlight w:val="none"/>
              </w:rPr>
            </w:pPr>
            <w:r>
              <w:rPr>
                <w:rFonts w:hint="eastAsia" w:cs="宋体" w:asciiTheme="minorEastAsia" w:hAnsiTheme="minorEastAsia" w:eastAsiaTheme="minorEastAsia"/>
                <w:b/>
                <w:bCs/>
                <w:color w:val="000000"/>
                <w:sz w:val="24"/>
                <w:szCs w:val="24"/>
                <w:highlight w:val="none"/>
              </w:rPr>
              <w:t>类别</w:t>
            </w:r>
          </w:p>
        </w:tc>
        <w:tc>
          <w:tcPr>
            <w:tcW w:w="810" w:type="dxa"/>
            <w:vMerge w:val="restart"/>
            <w:vAlign w:val="center"/>
          </w:tcPr>
          <w:p>
            <w:pPr>
              <w:spacing w:line="400" w:lineRule="exact"/>
              <w:jc w:val="center"/>
              <w:rPr>
                <w:rFonts w:cs="宋体" w:asciiTheme="minorEastAsia" w:hAnsiTheme="minorEastAsia" w:eastAsiaTheme="minorEastAsia"/>
                <w:b/>
                <w:bCs/>
                <w:color w:val="000000"/>
                <w:sz w:val="24"/>
                <w:szCs w:val="24"/>
                <w:highlight w:val="none"/>
              </w:rPr>
            </w:pPr>
            <w:r>
              <w:rPr>
                <w:rFonts w:hint="eastAsia" w:cs="宋体" w:asciiTheme="minorEastAsia" w:hAnsiTheme="minorEastAsia" w:eastAsiaTheme="minorEastAsia"/>
                <w:b/>
                <w:bCs/>
                <w:color w:val="000000"/>
                <w:sz w:val="24"/>
                <w:szCs w:val="24"/>
                <w:highlight w:val="none"/>
              </w:rPr>
              <w:t>职务</w:t>
            </w:r>
          </w:p>
        </w:tc>
        <w:tc>
          <w:tcPr>
            <w:tcW w:w="781" w:type="dxa"/>
            <w:vMerge w:val="restart"/>
            <w:vAlign w:val="center"/>
          </w:tcPr>
          <w:p>
            <w:pPr>
              <w:spacing w:line="400" w:lineRule="exact"/>
              <w:jc w:val="center"/>
              <w:rPr>
                <w:rFonts w:cs="宋体" w:asciiTheme="minorEastAsia" w:hAnsiTheme="minorEastAsia" w:eastAsiaTheme="minorEastAsia"/>
                <w:b/>
                <w:bCs/>
                <w:color w:val="000000"/>
                <w:sz w:val="24"/>
                <w:szCs w:val="24"/>
                <w:highlight w:val="none"/>
              </w:rPr>
            </w:pPr>
            <w:r>
              <w:rPr>
                <w:rFonts w:hint="eastAsia" w:cs="宋体" w:asciiTheme="minorEastAsia" w:hAnsiTheme="minorEastAsia" w:eastAsiaTheme="minorEastAsia"/>
                <w:b/>
                <w:bCs/>
                <w:color w:val="000000"/>
                <w:sz w:val="24"/>
                <w:szCs w:val="24"/>
                <w:highlight w:val="none"/>
              </w:rPr>
              <w:t>姓名</w:t>
            </w:r>
          </w:p>
        </w:tc>
        <w:tc>
          <w:tcPr>
            <w:tcW w:w="841" w:type="dxa"/>
            <w:vMerge w:val="restart"/>
            <w:vAlign w:val="center"/>
          </w:tcPr>
          <w:p>
            <w:pPr>
              <w:spacing w:line="400" w:lineRule="exact"/>
              <w:jc w:val="center"/>
              <w:rPr>
                <w:rFonts w:cs="宋体" w:asciiTheme="minorEastAsia" w:hAnsiTheme="minorEastAsia" w:eastAsiaTheme="minorEastAsia"/>
                <w:b/>
                <w:bCs/>
                <w:color w:val="000000"/>
                <w:sz w:val="24"/>
                <w:szCs w:val="24"/>
                <w:highlight w:val="none"/>
              </w:rPr>
            </w:pPr>
            <w:r>
              <w:rPr>
                <w:rFonts w:hint="eastAsia" w:cs="宋体" w:asciiTheme="minorEastAsia" w:hAnsiTheme="minorEastAsia" w:eastAsiaTheme="minorEastAsia"/>
                <w:b/>
                <w:bCs/>
                <w:color w:val="000000"/>
                <w:sz w:val="24"/>
                <w:szCs w:val="24"/>
                <w:highlight w:val="none"/>
              </w:rPr>
              <w:t>职称</w:t>
            </w:r>
          </w:p>
        </w:tc>
        <w:tc>
          <w:tcPr>
            <w:tcW w:w="811" w:type="dxa"/>
            <w:vMerge w:val="restart"/>
            <w:vAlign w:val="center"/>
          </w:tcPr>
          <w:p>
            <w:pPr>
              <w:spacing w:line="400" w:lineRule="exact"/>
              <w:jc w:val="center"/>
              <w:rPr>
                <w:rFonts w:cs="宋体" w:asciiTheme="minorEastAsia" w:hAnsiTheme="minorEastAsia" w:eastAsiaTheme="minorEastAsia"/>
                <w:b/>
                <w:bCs/>
                <w:color w:val="000000"/>
                <w:sz w:val="24"/>
                <w:szCs w:val="24"/>
                <w:highlight w:val="none"/>
              </w:rPr>
            </w:pPr>
            <w:r>
              <w:rPr>
                <w:rFonts w:hint="eastAsia" w:cs="宋体" w:asciiTheme="minorEastAsia" w:hAnsiTheme="minorEastAsia" w:eastAsiaTheme="minorEastAsia"/>
                <w:b/>
                <w:bCs/>
                <w:color w:val="000000"/>
                <w:sz w:val="24"/>
                <w:szCs w:val="24"/>
                <w:highlight w:val="none"/>
              </w:rPr>
              <w:t>常住地</w:t>
            </w:r>
          </w:p>
        </w:tc>
        <w:tc>
          <w:tcPr>
            <w:tcW w:w="4326" w:type="dxa"/>
            <w:gridSpan w:val="4"/>
            <w:vAlign w:val="center"/>
          </w:tcPr>
          <w:p>
            <w:pPr>
              <w:spacing w:line="400" w:lineRule="exact"/>
              <w:jc w:val="center"/>
              <w:rPr>
                <w:rFonts w:cs="宋体" w:asciiTheme="minorEastAsia" w:hAnsiTheme="minorEastAsia" w:eastAsiaTheme="minorEastAsia"/>
                <w:b/>
                <w:bCs/>
                <w:color w:val="000000"/>
                <w:sz w:val="24"/>
                <w:szCs w:val="24"/>
                <w:highlight w:val="none"/>
              </w:rPr>
            </w:pPr>
            <w:r>
              <w:rPr>
                <w:rFonts w:hint="eastAsia" w:cs="宋体" w:asciiTheme="minorEastAsia" w:hAnsiTheme="minorEastAsia" w:eastAsiaTheme="minorEastAsia"/>
                <w:b/>
                <w:bCs/>
                <w:color w:val="000000"/>
                <w:sz w:val="24"/>
                <w:szCs w:val="24"/>
                <w:highlight w:val="none"/>
              </w:rPr>
              <w:t>资格证明(附复印件)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1186" w:type="dxa"/>
            <w:vMerge w:val="continue"/>
            <w:vAlign w:val="center"/>
          </w:tcPr>
          <w:p>
            <w:pPr>
              <w:spacing w:line="400" w:lineRule="exact"/>
              <w:jc w:val="center"/>
              <w:rPr>
                <w:rFonts w:cs="宋体" w:asciiTheme="minorEastAsia" w:hAnsiTheme="minorEastAsia" w:eastAsiaTheme="minorEastAsia"/>
                <w:b/>
                <w:bCs/>
                <w:color w:val="000000"/>
                <w:sz w:val="24"/>
                <w:szCs w:val="24"/>
                <w:highlight w:val="none"/>
              </w:rPr>
            </w:pPr>
          </w:p>
        </w:tc>
        <w:tc>
          <w:tcPr>
            <w:tcW w:w="810" w:type="dxa"/>
            <w:vMerge w:val="continue"/>
            <w:vAlign w:val="center"/>
          </w:tcPr>
          <w:p>
            <w:pPr>
              <w:spacing w:line="400" w:lineRule="exact"/>
              <w:jc w:val="center"/>
              <w:rPr>
                <w:rFonts w:cs="宋体" w:asciiTheme="minorEastAsia" w:hAnsiTheme="minorEastAsia" w:eastAsiaTheme="minorEastAsia"/>
                <w:b/>
                <w:bCs/>
                <w:color w:val="000000"/>
                <w:sz w:val="24"/>
                <w:szCs w:val="24"/>
                <w:highlight w:val="none"/>
              </w:rPr>
            </w:pPr>
          </w:p>
        </w:tc>
        <w:tc>
          <w:tcPr>
            <w:tcW w:w="781" w:type="dxa"/>
            <w:vMerge w:val="continue"/>
            <w:vAlign w:val="center"/>
          </w:tcPr>
          <w:p>
            <w:pPr>
              <w:spacing w:line="400" w:lineRule="exact"/>
              <w:jc w:val="center"/>
              <w:rPr>
                <w:rFonts w:cs="宋体" w:asciiTheme="minorEastAsia" w:hAnsiTheme="minorEastAsia" w:eastAsiaTheme="minorEastAsia"/>
                <w:b/>
                <w:bCs/>
                <w:color w:val="000000"/>
                <w:sz w:val="24"/>
                <w:szCs w:val="24"/>
                <w:highlight w:val="none"/>
              </w:rPr>
            </w:pPr>
          </w:p>
        </w:tc>
        <w:tc>
          <w:tcPr>
            <w:tcW w:w="841" w:type="dxa"/>
            <w:vMerge w:val="continue"/>
            <w:vAlign w:val="center"/>
          </w:tcPr>
          <w:p>
            <w:pPr>
              <w:spacing w:line="400" w:lineRule="exact"/>
              <w:jc w:val="center"/>
              <w:rPr>
                <w:rFonts w:cs="宋体" w:asciiTheme="minorEastAsia" w:hAnsiTheme="minorEastAsia" w:eastAsiaTheme="minorEastAsia"/>
                <w:b/>
                <w:bCs/>
                <w:color w:val="000000"/>
                <w:sz w:val="24"/>
                <w:szCs w:val="24"/>
                <w:highlight w:val="none"/>
              </w:rPr>
            </w:pPr>
          </w:p>
        </w:tc>
        <w:tc>
          <w:tcPr>
            <w:tcW w:w="811" w:type="dxa"/>
            <w:vMerge w:val="continue"/>
            <w:vAlign w:val="center"/>
          </w:tcPr>
          <w:p>
            <w:pPr>
              <w:spacing w:line="400" w:lineRule="exact"/>
              <w:jc w:val="center"/>
              <w:rPr>
                <w:rFonts w:cs="宋体" w:asciiTheme="minorEastAsia" w:hAnsiTheme="minorEastAsia" w:eastAsiaTheme="minorEastAsia"/>
                <w:b/>
                <w:bCs/>
                <w:color w:val="000000"/>
                <w:sz w:val="24"/>
                <w:szCs w:val="24"/>
                <w:highlight w:val="none"/>
              </w:rPr>
            </w:pPr>
          </w:p>
        </w:tc>
        <w:tc>
          <w:tcPr>
            <w:tcW w:w="1183" w:type="dxa"/>
            <w:vAlign w:val="center"/>
          </w:tcPr>
          <w:p>
            <w:pPr>
              <w:spacing w:line="400" w:lineRule="exact"/>
              <w:jc w:val="center"/>
              <w:rPr>
                <w:rFonts w:cs="宋体" w:asciiTheme="minorEastAsia" w:hAnsiTheme="minorEastAsia" w:eastAsiaTheme="minorEastAsia"/>
                <w:b/>
                <w:bCs/>
                <w:color w:val="000000"/>
                <w:sz w:val="24"/>
                <w:szCs w:val="24"/>
                <w:highlight w:val="none"/>
              </w:rPr>
            </w:pPr>
            <w:r>
              <w:rPr>
                <w:rFonts w:hint="eastAsia" w:cs="宋体" w:asciiTheme="minorEastAsia" w:hAnsiTheme="minorEastAsia" w:eastAsiaTheme="minorEastAsia"/>
                <w:b/>
                <w:bCs/>
                <w:color w:val="000000"/>
                <w:sz w:val="24"/>
                <w:szCs w:val="24"/>
                <w:highlight w:val="none"/>
              </w:rPr>
              <w:t>证书名称</w:t>
            </w:r>
          </w:p>
        </w:tc>
        <w:tc>
          <w:tcPr>
            <w:tcW w:w="980" w:type="dxa"/>
            <w:vAlign w:val="center"/>
          </w:tcPr>
          <w:p>
            <w:pPr>
              <w:spacing w:line="400" w:lineRule="exact"/>
              <w:jc w:val="center"/>
              <w:rPr>
                <w:rFonts w:cs="宋体" w:asciiTheme="minorEastAsia" w:hAnsiTheme="minorEastAsia" w:eastAsiaTheme="minorEastAsia"/>
                <w:b/>
                <w:bCs/>
                <w:color w:val="000000"/>
                <w:sz w:val="24"/>
                <w:szCs w:val="24"/>
                <w:highlight w:val="none"/>
              </w:rPr>
            </w:pPr>
            <w:r>
              <w:rPr>
                <w:rFonts w:hint="eastAsia" w:cs="宋体" w:asciiTheme="minorEastAsia" w:hAnsiTheme="minorEastAsia" w:eastAsiaTheme="minorEastAsia"/>
                <w:b/>
                <w:bCs/>
                <w:color w:val="000000"/>
                <w:sz w:val="24"/>
                <w:szCs w:val="24"/>
                <w:highlight w:val="none"/>
              </w:rPr>
              <w:t>级别</w:t>
            </w:r>
          </w:p>
        </w:tc>
        <w:tc>
          <w:tcPr>
            <w:tcW w:w="1081" w:type="dxa"/>
            <w:vAlign w:val="center"/>
          </w:tcPr>
          <w:p>
            <w:pPr>
              <w:spacing w:line="400" w:lineRule="exact"/>
              <w:jc w:val="center"/>
              <w:rPr>
                <w:rFonts w:cs="宋体" w:asciiTheme="minorEastAsia" w:hAnsiTheme="minorEastAsia" w:eastAsiaTheme="minorEastAsia"/>
                <w:b/>
                <w:bCs/>
                <w:color w:val="000000"/>
                <w:sz w:val="24"/>
                <w:szCs w:val="24"/>
                <w:highlight w:val="none"/>
              </w:rPr>
            </w:pPr>
            <w:r>
              <w:rPr>
                <w:rFonts w:hint="eastAsia" w:cs="宋体" w:asciiTheme="minorEastAsia" w:hAnsiTheme="minorEastAsia" w:eastAsiaTheme="minorEastAsia"/>
                <w:b/>
                <w:bCs/>
                <w:color w:val="000000"/>
                <w:sz w:val="24"/>
                <w:szCs w:val="24"/>
                <w:highlight w:val="none"/>
              </w:rPr>
              <w:t>证号</w:t>
            </w:r>
          </w:p>
        </w:tc>
        <w:tc>
          <w:tcPr>
            <w:tcW w:w="1082" w:type="dxa"/>
            <w:vAlign w:val="center"/>
          </w:tcPr>
          <w:p>
            <w:pPr>
              <w:spacing w:line="400" w:lineRule="exact"/>
              <w:jc w:val="center"/>
              <w:rPr>
                <w:rFonts w:cs="宋体" w:asciiTheme="minorEastAsia" w:hAnsiTheme="minorEastAsia" w:eastAsiaTheme="minorEastAsia"/>
                <w:b/>
                <w:bCs/>
                <w:color w:val="000000"/>
                <w:sz w:val="24"/>
                <w:szCs w:val="24"/>
                <w:highlight w:val="none"/>
              </w:rPr>
            </w:pPr>
            <w:r>
              <w:rPr>
                <w:rFonts w:hint="eastAsia" w:cs="宋体" w:asciiTheme="minorEastAsia" w:hAnsiTheme="minorEastAsia" w:eastAsiaTheme="minorEastAsia"/>
                <w:b/>
                <w:bCs/>
                <w:color w:val="000000"/>
                <w:sz w:val="24"/>
                <w:szCs w:val="24"/>
                <w:highlight w:val="none"/>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1" w:hRule="atLeast"/>
          <w:jc w:val="center"/>
        </w:trPr>
        <w:tc>
          <w:tcPr>
            <w:tcW w:w="1186" w:type="dxa"/>
            <w:vMerge w:val="restart"/>
          </w:tcPr>
          <w:p>
            <w:pPr>
              <w:spacing w:line="400" w:lineRule="exact"/>
              <w:jc w:val="center"/>
              <w:rPr>
                <w:rFonts w:cs="宋体" w:asciiTheme="minorEastAsia" w:hAnsiTheme="minorEastAsia" w:eastAsiaTheme="minorEastAsia"/>
                <w:color w:val="000000"/>
                <w:sz w:val="24"/>
                <w:szCs w:val="24"/>
                <w:highlight w:val="none"/>
              </w:rPr>
            </w:pPr>
            <w:r>
              <w:rPr>
                <w:rFonts w:hint="eastAsia" w:cs="宋体" w:asciiTheme="minorEastAsia" w:hAnsiTheme="minorEastAsia" w:eastAsiaTheme="minorEastAsia"/>
                <w:color w:val="000000"/>
                <w:sz w:val="24"/>
                <w:szCs w:val="24"/>
                <w:highlight w:val="none"/>
              </w:rPr>
              <w:t>管</w:t>
            </w:r>
          </w:p>
          <w:p>
            <w:pPr>
              <w:spacing w:line="400" w:lineRule="exact"/>
              <w:jc w:val="center"/>
              <w:rPr>
                <w:rFonts w:cs="宋体" w:asciiTheme="minorEastAsia" w:hAnsiTheme="minorEastAsia" w:eastAsiaTheme="minorEastAsia"/>
                <w:color w:val="000000"/>
                <w:sz w:val="24"/>
                <w:szCs w:val="24"/>
                <w:highlight w:val="none"/>
              </w:rPr>
            </w:pPr>
            <w:r>
              <w:rPr>
                <w:rFonts w:hint="eastAsia" w:cs="宋体" w:asciiTheme="minorEastAsia" w:hAnsiTheme="minorEastAsia" w:eastAsiaTheme="minorEastAsia"/>
                <w:color w:val="000000"/>
                <w:sz w:val="24"/>
                <w:szCs w:val="24"/>
                <w:highlight w:val="none"/>
              </w:rPr>
              <w:t>理</w:t>
            </w:r>
          </w:p>
          <w:p>
            <w:pPr>
              <w:spacing w:line="400" w:lineRule="exact"/>
              <w:jc w:val="center"/>
              <w:rPr>
                <w:rFonts w:cs="宋体" w:asciiTheme="minorEastAsia" w:hAnsiTheme="minorEastAsia" w:eastAsiaTheme="minorEastAsia"/>
                <w:color w:val="000000"/>
                <w:sz w:val="24"/>
                <w:szCs w:val="24"/>
                <w:highlight w:val="none"/>
              </w:rPr>
            </w:pPr>
            <w:r>
              <w:rPr>
                <w:rFonts w:hint="eastAsia" w:cs="宋体" w:asciiTheme="minorEastAsia" w:hAnsiTheme="minorEastAsia" w:eastAsiaTheme="minorEastAsia"/>
                <w:color w:val="000000"/>
                <w:sz w:val="24"/>
                <w:szCs w:val="24"/>
                <w:highlight w:val="none"/>
              </w:rPr>
              <w:t>人</w:t>
            </w:r>
          </w:p>
          <w:p>
            <w:pPr>
              <w:spacing w:line="400" w:lineRule="exact"/>
              <w:jc w:val="center"/>
              <w:rPr>
                <w:rFonts w:cs="宋体" w:asciiTheme="minorEastAsia" w:hAnsiTheme="minorEastAsia" w:eastAsiaTheme="minorEastAsia"/>
                <w:color w:val="000000"/>
                <w:sz w:val="24"/>
                <w:szCs w:val="24"/>
                <w:highlight w:val="none"/>
              </w:rPr>
            </w:pPr>
            <w:r>
              <w:rPr>
                <w:rFonts w:hint="eastAsia" w:cs="宋体" w:asciiTheme="minorEastAsia" w:hAnsiTheme="minorEastAsia" w:eastAsiaTheme="minorEastAsia"/>
                <w:color w:val="000000"/>
                <w:sz w:val="24"/>
                <w:szCs w:val="24"/>
                <w:highlight w:val="none"/>
              </w:rPr>
              <w:t>员</w:t>
            </w:r>
          </w:p>
        </w:tc>
        <w:tc>
          <w:tcPr>
            <w:tcW w:w="810" w:type="dxa"/>
          </w:tcPr>
          <w:p>
            <w:pPr>
              <w:spacing w:line="400" w:lineRule="exact"/>
              <w:jc w:val="center"/>
              <w:rPr>
                <w:rFonts w:cs="宋体" w:asciiTheme="minorEastAsia" w:hAnsiTheme="minorEastAsia" w:eastAsiaTheme="minorEastAsia"/>
                <w:color w:val="000000"/>
                <w:sz w:val="24"/>
                <w:szCs w:val="24"/>
                <w:highlight w:val="none"/>
              </w:rPr>
            </w:pPr>
          </w:p>
        </w:tc>
        <w:tc>
          <w:tcPr>
            <w:tcW w:w="781" w:type="dxa"/>
          </w:tcPr>
          <w:p>
            <w:pPr>
              <w:spacing w:line="400" w:lineRule="exact"/>
              <w:jc w:val="center"/>
              <w:rPr>
                <w:rFonts w:cs="宋体" w:asciiTheme="minorEastAsia" w:hAnsiTheme="minorEastAsia" w:eastAsiaTheme="minorEastAsia"/>
                <w:color w:val="000000"/>
                <w:sz w:val="24"/>
                <w:szCs w:val="24"/>
                <w:highlight w:val="none"/>
              </w:rPr>
            </w:pPr>
          </w:p>
        </w:tc>
        <w:tc>
          <w:tcPr>
            <w:tcW w:w="841" w:type="dxa"/>
          </w:tcPr>
          <w:p>
            <w:pPr>
              <w:spacing w:line="400" w:lineRule="exact"/>
              <w:jc w:val="center"/>
              <w:rPr>
                <w:rFonts w:cs="宋体" w:asciiTheme="minorEastAsia" w:hAnsiTheme="minorEastAsia" w:eastAsiaTheme="minorEastAsia"/>
                <w:color w:val="000000"/>
                <w:sz w:val="24"/>
                <w:szCs w:val="24"/>
                <w:highlight w:val="none"/>
              </w:rPr>
            </w:pPr>
          </w:p>
        </w:tc>
        <w:tc>
          <w:tcPr>
            <w:tcW w:w="811" w:type="dxa"/>
          </w:tcPr>
          <w:p>
            <w:pPr>
              <w:spacing w:line="400" w:lineRule="exact"/>
              <w:jc w:val="center"/>
              <w:rPr>
                <w:rFonts w:cs="宋体" w:asciiTheme="minorEastAsia" w:hAnsiTheme="minorEastAsia" w:eastAsiaTheme="minorEastAsia"/>
                <w:color w:val="000000"/>
                <w:sz w:val="24"/>
                <w:szCs w:val="24"/>
                <w:highlight w:val="none"/>
              </w:rPr>
            </w:pPr>
          </w:p>
        </w:tc>
        <w:tc>
          <w:tcPr>
            <w:tcW w:w="1183" w:type="dxa"/>
          </w:tcPr>
          <w:p>
            <w:pPr>
              <w:spacing w:line="400" w:lineRule="exact"/>
              <w:jc w:val="center"/>
              <w:rPr>
                <w:rFonts w:cs="宋体" w:asciiTheme="minorEastAsia" w:hAnsiTheme="minorEastAsia" w:eastAsiaTheme="minorEastAsia"/>
                <w:color w:val="000000"/>
                <w:sz w:val="24"/>
                <w:szCs w:val="24"/>
                <w:highlight w:val="none"/>
              </w:rPr>
            </w:pPr>
          </w:p>
        </w:tc>
        <w:tc>
          <w:tcPr>
            <w:tcW w:w="980" w:type="dxa"/>
          </w:tcPr>
          <w:p>
            <w:pPr>
              <w:spacing w:line="400" w:lineRule="exact"/>
              <w:jc w:val="center"/>
              <w:rPr>
                <w:rFonts w:cs="宋体" w:asciiTheme="minorEastAsia" w:hAnsiTheme="minorEastAsia" w:eastAsiaTheme="minorEastAsia"/>
                <w:color w:val="000000"/>
                <w:sz w:val="24"/>
                <w:szCs w:val="24"/>
                <w:highlight w:val="none"/>
              </w:rPr>
            </w:pPr>
          </w:p>
        </w:tc>
        <w:tc>
          <w:tcPr>
            <w:tcW w:w="1081" w:type="dxa"/>
          </w:tcPr>
          <w:p>
            <w:pPr>
              <w:spacing w:line="400" w:lineRule="exact"/>
              <w:jc w:val="center"/>
              <w:rPr>
                <w:rFonts w:cs="宋体" w:asciiTheme="minorEastAsia" w:hAnsiTheme="minorEastAsia" w:eastAsiaTheme="minorEastAsia"/>
                <w:color w:val="000000"/>
                <w:sz w:val="24"/>
                <w:szCs w:val="24"/>
                <w:highlight w:val="none"/>
              </w:rPr>
            </w:pPr>
          </w:p>
        </w:tc>
        <w:tc>
          <w:tcPr>
            <w:tcW w:w="1082" w:type="dxa"/>
          </w:tcPr>
          <w:p>
            <w:pPr>
              <w:spacing w:line="400" w:lineRule="exact"/>
              <w:jc w:val="center"/>
              <w:rPr>
                <w:rFonts w:cs="宋体" w:asciiTheme="minorEastAsia" w:hAnsiTheme="minorEastAsia" w:eastAsiaTheme="minorEastAsia"/>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1186" w:type="dxa"/>
            <w:vMerge w:val="continue"/>
          </w:tcPr>
          <w:p>
            <w:pPr>
              <w:spacing w:line="400" w:lineRule="exact"/>
              <w:jc w:val="center"/>
              <w:rPr>
                <w:rFonts w:cs="宋体" w:asciiTheme="minorEastAsia" w:hAnsiTheme="minorEastAsia" w:eastAsiaTheme="minorEastAsia"/>
                <w:color w:val="000000"/>
                <w:sz w:val="24"/>
                <w:szCs w:val="24"/>
                <w:highlight w:val="none"/>
              </w:rPr>
            </w:pPr>
          </w:p>
        </w:tc>
        <w:tc>
          <w:tcPr>
            <w:tcW w:w="810" w:type="dxa"/>
          </w:tcPr>
          <w:p>
            <w:pPr>
              <w:spacing w:line="400" w:lineRule="exact"/>
              <w:jc w:val="center"/>
              <w:rPr>
                <w:rFonts w:cs="宋体" w:asciiTheme="minorEastAsia" w:hAnsiTheme="minorEastAsia" w:eastAsiaTheme="minorEastAsia"/>
                <w:color w:val="000000"/>
                <w:sz w:val="24"/>
                <w:szCs w:val="24"/>
                <w:highlight w:val="none"/>
              </w:rPr>
            </w:pPr>
          </w:p>
        </w:tc>
        <w:tc>
          <w:tcPr>
            <w:tcW w:w="781" w:type="dxa"/>
          </w:tcPr>
          <w:p>
            <w:pPr>
              <w:spacing w:line="400" w:lineRule="exact"/>
              <w:jc w:val="center"/>
              <w:rPr>
                <w:rFonts w:cs="宋体" w:asciiTheme="minorEastAsia" w:hAnsiTheme="minorEastAsia" w:eastAsiaTheme="minorEastAsia"/>
                <w:color w:val="000000"/>
                <w:sz w:val="24"/>
                <w:szCs w:val="24"/>
                <w:highlight w:val="none"/>
              </w:rPr>
            </w:pPr>
          </w:p>
        </w:tc>
        <w:tc>
          <w:tcPr>
            <w:tcW w:w="841" w:type="dxa"/>
          </w:tcPr>
          <w:p>
            <w:pPr>
              <w:spacing w:line="400" w:lineRule="exact"/>
              <w:jc w:val="center"/>
              <w:rPr>
                <w:rFonts w:cs="宋体" w:asciiTheme="minorEastAsia" w:hAnsiTheme="minorEastAsia" w:eastAsiaTheme="minorEastAsia"/>
                <w:color w:val="000000"/>
                <w:sz w:val="24"/>
                <w:szCs w:val="24"/>
                <w:highlight w:val="none"/>
              </w:rPr>
            </w:pPr>
          </w:p>
        </w:tc>
        <w:tc>
          <w:tcPr>
            <w:tcW w:w="811" w:type="dxa"/>
          </w:tcPr>
          <w:p>
            <w:pPr>
              <w:spacing w:line="400" w:lineRule="exact"/>
              <w:jc w:val="center"/>
              <w:rPr>
                <w:rFonts w:cs="宋体" w:asciiTheme="minorEastAsia" w:hAnsiTheme="minorEastAsia" w:eastAsiaTheme="minorEastAsia"/>
                <w:color w:val="000000"/>
                <w:sz w:val="24"/>
                <w:szCs w:val="24"/>
                <w:highlight w:val="none"/>
              </w:rPr>
            </w:pPr>
          </w:p>
        </w:tc>
        <w:tc>
          <w:tcPr>
            <w:tcW w:w="1183" w:type="dxa"/>
          </w:tcPr>
          <w:p>
            <w:pPr>
              <w:spacing w:line="400" w:lineRule="exact"/>
              <w:jc w:val="center"/>
              <w:rPr>
                <w:rFonts w:cs="宋体" w:asciiTheme="minorEastAsia" w:hAnsiTheme="minorEastAsia" w:eastAsiaTheme="minorEastAsia"/>
                <w:color w:val="000000"/>
                <w:sz w:val="24"/>
                <w:szCs w:val="24"/>
                <w:highlight w:val="none"/>
              </w:rPr>
            </w:pPr>
          </w:p>
        </w:tc>
        <w:tc>
          <w:tcPr>
            <w:tcW w:w="980" w:type="dxa"/>
          </w:tcPr>
          <w:p>
            <w:pPr>
              <w:spacing w:line="400" w:lineRule="exact"/>
              <w:jc w:val="center"/>
              <w:rPr>
                <w:rFonts w:cs="宋体" w:asciiTheme="minorEastAsia" w:hAnsiTheme="minorEastAsia" w:eastAsiaTheme="minorEastAsia"/>
                <w:color w:val="000000"/>
                <w:sz w:val="24"/>
                <w:szCs w:val="24"/>
                <w:highlight w:val="none"/>
              </w:rPr>
            </w:pPr>
          </w:p>
        </w:tc>
        <w:tc>
          <w:tcPr>
            <w:tcW w:w="1081" w:type="dxa"/>
          </w:tcPr>
          <w:p>
            <w:pPr>
              <w:spacing w:line="400" w:lineRule="exact"/>
              <w:jc w:val="center"/>
              <w:rPr>
                <w:rFonts w:cs="宋体" w:asciiTheme="minorEastAsia" w:hAnsiTheme="minorEastAsia" w:eastAsiaTheme="minorEastAsia"/>
                <w:color w:val="000000"/>
                <w:sz w:val="24"/>
                <w:szCs w:val="24"/>
                <w:highlight w:val="none"/>
              </w:rPr>
            </w:pPr>
          </w:p>
        </w:tc>
        <w:tc>
          <w:tcPr>
            <w:tcW w:w="1082" w:type="dxa"/>
          </w:tcPr>
          <w:p>
            <w:pPr>
              <w:spacing w:line="400" w:lineRule="exact"/>
              <w:jc w:val="center"/>
              <w:rPr>
                <w:rFonts w:cs="宋体" w:asciiTheme="minorEastAsia" w:hAnsiTheme="minorEastAsia" w:eastAsiaTheme="minorEastAsia"/>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1" w:hRule="atLeast"/>
          <w:jc w:val="center"/>
        </w:trPr>
        <w:tc>
          <w:tcPr>
            <w:tcW w:w="1186" w:type="dxa"/>
            <w:vMerge w:val="continue"/>
          </w:tcPr>
          <w:p>
            <w:pPr>
              <w:spacing w:line="400" w:lineRule="exact"/>
              <w:jc w:val="center"/>
              <w:rPr>
                <w:rFonts w:cs="宋体" w:asciiTheme="minorEastAsia" w:hAnsiTheme="minorEastAsia" w:eastAsiaTheme="minorEastAsia"/>
                <w:color w:val="000000"/>
                <w:sz w:val="24"/>
                <w:szCs w:val="24"/>
                <w:highlight w:val="none"/>
              </w:rPr>
            </w:pPr>
          </w:p>
        </w:tc>
        <w:tc>
          <w:tcPr>
            <w:tcW w:w="810" w:type="dxa"/>
          </w:tcPr>
          <w:p>
            <w:pPr>
              <w:spacing w:line="400" w:lineRule="exact"/>
              <w:jc w:val="center"/>
              <w:rPr>
                <w:rFonts w:cs="宋体" w:asciiTheme="minorEastAsia" w:hAnsiTheme="minorEastAsia" w:eastAsiaTheme="minorEastAsia"/>
                <w:color w:val="000000"/>
                <w:sz w:val="24"/>
                <w:szCs w:val="24"/>
                <w:highlight w:val="none"/>
              </w:rPr>
            </w:pPr>
          </w:p>
        </w:tc>
        <w:tc>
          <w:tcPr>
            <w:tcW w:w="781" w:type="dxa"/>
          </w:tcPr>
          <w:p>
            <w:pPr>
              <w:spacing w:line="400" w:lineRule="exact"/>
              <w:jc w:val="center"/>
              <w:rPr>
                <w:rFonts w:cs="宋体" w:asciiTheme="minorEastAsia" w:hAnsiTheme="minorEastAsia" w:eastAsiaTheme="minorEastAsia"/>
                <w:color w:val="000000"/>
                <w:sz w:val="24"/>
                <w:szCs w:val="24"/>
                <w:highlight w:val="none"/>
              </w:rPr>
            </w:pPr>
          </w:p>
        </w:tc>
        <w:tc>
          <w:tcPr>
            <w:tcW w:w="841" w:type="dxa"/>
          </w:tcPr>
          <w:p>
            <w:pPr>
              <w:spacing w:line="400" w:lineRule="exact"/>
              <w:jc w:val="center"/>
              <w:rPr>
                <w:rFonts w:cs="宋体" w:asciiTheme="minorEastAsia" w:hAnsiTheme="minorEastAsia" w:eastAsiaTheme="minorEastAsia"/>
                <w:color w:val="000000"/>
                <w:sz w:val="24"/>
                <w:szCs w:val="24"/>
                <w:highlight w:val="none"/>
              </w:rPr>
            </w:pPr>
          </w:p>
        </w:tc>
        <w:tc>
          <w:tcPr>
            <w:tcW w:w="811" w:type="dxa"/>
          </w:tcPr>
          <w:p>
            <w:pPr>
              <w:spacing w:line="400" w:lineRule="exact"/>
              <w:jc w:val="center"/>
              <w:rPr>
                <w:rFonts w:cs="宋体" w:asciiTheme="minorEastAsia" w:hAnsiTheme="minorEastAsia" w:eastAsiaTheme="minorEastAsia"/>
                <w:color w:val="000000"/>
                <w:sz w:val="24"/>
                <w:szCs w:val="24"/>
                <w:highlight w:val="none"/>
              </w:rPr>
            </w:pPr>
          </w:p>
        </w:tc>
        <w:tc>
          <w:tcPr>
            <w:tcW w:w="1183" w:type="dxa"/>
          </w:tcPr>
          <w:p>
            <w:pPr>
              <w:spacing w:line="400" w:lineRule="exact"/>
              <w:jc w:val="center"/>
              <w:rPr>
                <w:rFonts w:cs="宋体" w:asciiTheme="minorEastAsia" w:hAnsiTheme="minorEastAsia" w:eastAsiaTheme="minorEastAsia"/>
                <w:color w:val="000000"/>
                <w:sz w:val="24"/>
                <w:szCs w:val="24"/>
                <w:highlight w:val="none"/>
              </w:rPr>
            </w:pPr>
          </w:p>
        </w:tc>
        <w:tc>
          <w:tcPr>
            <w:tcW w:w="980" w:type="dxa"/>
          </w:tcPr>
          <w:p>
            <w:pPr>
              <w:spacing w:line="400" w:lineRule="exact"/>
              <w:jc w:val="center"/>
              <w:rPr>
                <w:rFonts w:cs="宋体" w:asciiTheme="minorEastAsia" w:hAnsiTheme="minorEastAsia" w:eastAsiaTheme="minorEastAsia"/>
                <w:color w:val="000000"/>
                <w:sz w:val="24"/>
                <w:szCs w:val="24"/>
                <w:highlight w:val="none"/>
              </w:rPr>
            </w:pPr>
          </w:p>
        </w:tc>
        <w:tc>
          <w:tcPr>
            <w:tcW w:w="1081" w:type="dxa"/>
          </w:tcPr>
          <w:p>
            <w:pPr>
              <w:spacing w:line="400" w:lineRule="exact"/>
              <w:jc w:val="center"/>
              <w:rPr>
                <w:rFonts w:cs="宋体" w:asciiTheme="minorEastAsia" w:hAnsiTheme="minorEastAsia" w:eastAsiaTheme="minorEastAsia"/>
                <w:color w:val="000000"/>
                <w:sz w:val="24"/>
                <w:szCs w:val="24"/>
                <w:highlight w:val="none"/>
              </w:rPr>
            </w:pPr>
          </w:p>
        </w:tc>
        <w:tc>
          <w:tcPr>
            <w:tcW w:w="1082" w:type="dxa"/>
          </w:tcPr>
          <w:p>
            <w:pPr>
              <w:spacing w:line="400" w:lineRule="exact"/>
              <w:jc w:val="center"/>
              <w:rPr>
                <w:rFonts w:cs="宋体" w:asciiTheme="minorEastAsia" w:hAnsiTheme="minorEastAsia" w:eastAsiaTheme="minorEastAsia"/>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1186" w:type="dxa"/>
            <w:vMerge w:val="restart"/>
          </w:tcPr>
          <w:p>
            <w:pPr>
              <w:spacing w:line="400" w:lineRule="exact"/>
              <w:jc w:val="center"/>
              <w:rPr>
                <w:rFonts w:cs="宋体" w:asciiTheme="minorEastAsia" w:hAnsiTheme="minorEastAsia" w:eastAsiaTheme="minorEastAsia"/>
                <w:color w:val="000000"/>
                <w:sz w:val="24"/>
                <w:szCs w:val="24"/>
                <w:highlight w:val="none"/>
              </w:rPr>
            </w:pPr>
            <w:r>
              <w:rPr>
                <w:rFonts w:hint="eastAsia" w:cs="宋体" w:asciiTheme="minorEastAsia" w:hAnsiTheme="minorEastAsia" w:eastAsiaTheme="minorEastAsia"/>
                <w:color w:val="000000"/>
                <w:sz w:val="24"/>
                <w:szCs w:val="24"/>
                <w:highlight w:val="none"/>
              </w:rPr>
              <w:t>技</w:t>
            </w:r>
          </w:p>
          <w:p>
            <w:pPr>
              <w:spacing w:line="400" w:lineRule="exact"/>
              <w:jc w:val="center"/>
              <w:rPr>
                <w:rFonts w:cs="宋体" w:asciiTheme="minorEastAsia" w:hAnsiTheme="minorEastAsia" w:eastAsiaTheme="minorEastAsia"/>
                <w:color w:val="000000"/>
                <w:sz w:val="24"/>
                <w:szCs w:val="24"/>
                <w:highlight w:val="none"/>
              </w:rPr>
            </w:pPr>
            <w:r>
              <w:rPr>
                <w:rFonts w:hint="eastAsia" w:cs="宋体" w:asciiTheme="minorEastAsia" w:hAnsiTheme="minorEastAsia" w:eastAsiaTheme="minorEastAsia"/>
                <w:color w:val="000000"/>
                <w:sz w:val="24"/>
                <w:szCs w:val="24"/>
                <w:highlight w:val="none"/>
              </w:rPr>
              <w:t>术</w:t>
            </w:r>
          </w:p>
          <w:p>
            <w:pPr>
              <w:spacing w:line="400" w:lineRule="exact"/>
              <w:jc w:val="center"/>
              <w:rPr>
                <w:rFonts w:cs="宋体" w:asciiTheme="minorEastAsia" w:hAnsiTheme="minorEastAsia" w:eastAsiaTheme="minorEastAsia"/>
                <w:color w:val="000000"/>
                <w:sz w:val="24"/>
                <w:szCs w:val="24"/>
                <w:highlight w:val="none"/>
              </w:rPr>
            </w:pPr>
            <w:r>
              <w:rPr>
                <w:rFonts w:hint="eastAsia" w:cs="宋体" w:asciiTheme="minorEastAsia" w:hAnsiTheme="minorEastAsia" w:eastAsiaTheme="minorEastAsia"/>
                <w:color w:val="000000"/>
                <w:sz w:val="24"/>
                <w:szCs w:val="24"/>
                <w:highlight w:val="none"/>
              </w:rPr>
              <w:t>人</w:t>
            </w:r>
          </w:p>
          <w:p>
            <w:pPr>
              <w:spacing w:line="400" w:lineRule="exact"/>
              <w:jc w:val="center"/>
              <w:rPr>
                <w:rFonts w:cs="宋体" w:asciiTheme="minorEastAsia" w:hAnsiTheme="minorEastAsia" w:eastAsiaTheme="minorEastAsia"/>
                <w:color w:val="000000"/>
                <w:sz w:val="24"/>
                <w:szCs w:val="24"/>
                <w:highlight w:val="none"/>
              </w:rPr>
            </w:pPr>
            <w:r>
              <w:rPr>
                <w:rFonts w:hint="eastAsia" w:cs="宋体" w:asciiTheme="minorEastAsia" w:hAnsiTheme="minorEastAsia" w:eastAsiaTheme="minorEastAsia"/>
                <w:color w:val="000000"/>
                <w:sz w:val="24"/>
                <w:szCs w:val="24"/>
                <w:highlight w:val="none"/>
              </w:rPr>
              <w:t>员</w:t>
            </w:r>
          </w:p>
        </w:tc>
        <w:tc>
          <w:tcPr>
            <w:tcW w:w="810" w:type="dxa"/>
          </w:tcPr>
          <w:p>
            <w:pPr>
              <w:spacing w:line="400" w:lineRule="exact"/>
              <w:jc w:val="center"/>
              <w:rPr>
                <w:rFonts w:cs="宋体" w:asciiTheme="minorEastAsia" w:hAnsiTheme="minorEastAsia" w:eastAsiaTheme="minorEastAsia"/>
                <w:color w:val="000000"/>
                <w:sz w:val="24"/>
                <w:szCs w:val="24"/>
                <w:highlight w:val="none"/>
              </w:rPr>
            </w:pPr>
          </w:p>
        </w:tc>
        <w:tc>
          <w:tcPr>
            <w:tcW w:w="781" w:type="dxa"/>
          </w:tcPr>
          <w:p>
            <w:pPr>
              <w:spacing w:line="400" w:lineRule="exact"/>
              <w:jc w:val="center"/>
              <w:rPr>
                <w:rFonts w:cs="宋体" w:asciiTheme="minorEastAsia" w:hAnsiTheme="minorEastAsia" w:eastAsiaTheme="minorEastAsia"/>
                <w:color w:val="000000"/>
                <w:sz w:val="24"/>
                <w:szCs w:val="24"/>
                <w:highlight w:val="none"/>
              </w:rPr>
            </w:pPr>
          </w:p>
        </w:tc>
        <w:tc>
          <w:tcPr>
            <w:tcW w:w="841" w:type="dxa"/>
          </w:tcPr>
          <w:p>
            <w:pPr>
              <w:spacing w:line="400" w:lineRule="exact"/>
              <w:jc w:val="center"/>
              <w:rPr>
                <w:rFonts w:cs="宋体" w:asciiTheme="minorEastAsia" w:hAnsiTheme="minorEastAsia" w:eastAsiaTheme="minorEastAsia"/>
                <w:color w:val="000000"/>
                <w:sz w:val="24"/>
                <w:szCs w:val="24"/>
                <w:highlight w:val="none"/>
              </w:rPr>
            </w:pPr>
          </w:p>
        </w:tc>
        <w:tc>
          <w:tcPr>
            <w:tcW w:w="811" w:type="dxa"/>
          </w:tcPr>
          <w:p>
            <w:pPr>
              <w:spacing w:line="400" w:lineRule="exact"/>
              <w:jc w:val="center"/>
              <w:rPr>
                <w:rFonts w:cs="宋体" w:asciiTheme="minorEastAsia" w:hAnsiTheme="minorEastAsia" w:eastAsiaTheme="minorEastAsia"/>
                <w:color w:val="000000"/>
                <w:sz w:val="24"/>
                <w:szCs w:val="24"/>
                <w:highlight w:val="none"/>
              </w:rPr>
            </w:pPr>
          </w:p>
        </w:tc>
        <w:tc>
          <w:tcPr>
            <w:tcW w:w="1183" w:type="dxa"/>
          </w:tcPr>
          <w:p>
            <w:pPr>
              <w:spacing w:line="400" w:lineRule="exact"/>
              <w:jc w:val="center"/>
              <w:rPr>
                <w:rFonts w:cs="宋体" w:asciiTheme="minorEastAsia" w:hAnsiTheme="minorEastAsia" w:eastAsiaTheme="minorEastAsia"/>
                <w:color w:val="000000"/>
                <w:sz w:val="24"/>
                <w:szCs w:val="24"/>
                <w:highlight w:val="none"/>
              </w:rPr>
            </w:pPr>
          </w:p>
        </w:tc>
        <w:tc>
          <w:tcPr>
            <w:tcW w:w="980" w:type="dxa"/>
          </w:tcPr>
          <w:p>
            <w:pPr>
              <w:spacing w:line="400" w:lineRule="exact"/>
              <w:jc w:val="center"/>
              <w:rPr>
                <w:rFonts w:cs="宋体" w:asciiTheme="minorEastAsia" w:hAnsiTheme="minorEastAsia" w:eastAsiaTheme="minorEastAsia"/>
                <w:color w:val="000000"/>
                <w:sz w:val="24"/>
                <w:szCs w:val="24"/>
                <w:highlight w:val="none"/>
              </w:rPr>
            </w:pPr>
          </w:p>
        </w:tc>
        <w:tc>
          <w:tcPr>
            <w:tcW w:w="1081" w:type="dxa"/>
          </w:tcPr>
          <w:p>
            <w:pPr>
              <w:spacing w:line="400" w:lineRule="exact"/>
              <w:jc w:val="center"/>
              <w:rPr>
                <w:rFonts w:cs="宋体" w:asciiTheme="minorEastAsia" w:hAnsiTheme="minorEastAsia" w:eastAsiaTheme="minorEastAsia"/>
                <w:color w:val="000000"/>
                <w:sz w:val="24"/>
                <w:szCs w:val="24"/>
                <w:highlight w:val="none"/>
              </w:rPr>
            </w:pPr>
          </w:p>
        </w:tc>
        <w:tc>
          <w:tcPr>
            <w:tcW w:w="1082" w:type="dxa"/>
          </w:tcPr>
          <w:p>
            <w:pPr>
              <w:spacing w:line="400" w:lineRule="exact"/>
              <w:jc w:val="center"/>
              <w:rPr>
                <w:rFonts w:cs="宋体" w:asciiTheme="minorEastAsia" w:hAnsiTheme="minorEastAsia" w:eastAsiaTheme="minorEastAsia"/>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1" w:hRule="atLeast"/>
          <w:jc w:val="center"/>
        </w:trPr>
        <w:tc>
          <w:tcPr>
            <w:tcW w:w="1186" w:type="dxa"/>
            <w:vMerge w:val="continue"/>
          </w:tcPr>
          <w:p>
            <w:pPr>
              <w:spacing w:line="400" w:lineRule="exact"/>
              <w:jc w:val="center"/>
              <w:rPr>
                <w:rFonts w:cs="宋体" w:asciiTheme="minorEastAsia" w:hAnsiTheme="minorEastAsia" w:eastAsiaTheme="minorEastAsia"/>
                <w:color w:val="000000"/>
                <w:sz w:val="24"/>
                <w:szCs w:val="24"/>
                <w:highlight w:val="none"/>
              </w:rPr>
            </w:pPr>
          </w:p>
        </w:tc>
        <w:tc>
          <w:tcPr>
            <w:tcW w:w="810" w:type="dxa"/>
          </w:tcPr>
          <w:p>
            <w:pPr>
              <w:spacing w:line="400" w:lineRule="exact"/>
              <w:jc w:val="center"/>
              <w:rPr>
                <w:rFonts w:cs="宋体" w:asciiTheme="minorEastAsia" w:hAnsiTheme="minorEastAsia" w:eastAsiaTheme="minorEastAsia"/>
                <w:color w:val="000000"/>
                <w:sz w:val="24"/>
                <w:szCs w:val="24"/>
                <w:highlight w:val="none"/>
              </w:rPr>
            </w:pPr>
          </w:p>
        </w:tc>
        <w:tc>
          <w:tcPr>
            <w:tcW w:w="781" w:type="dxa"/>
          </w:tcPr>
          <w:p>
            <w:pPr>
              <w:spacing w:line="400" w:lineRule="exact"/>
              <w:jc w:val="center"/>
              <w:rPr>
                <w:rFonts w:cs="宋体" w:asciiTheme="minorEastAsia" w:hAnsiTheme="minorEastAsia" w:eastAsiaTheme="minorEastAsia"/>
                <w:color w:val="000000"/>
                <w:sz w:val="24"/>
                <w:szCs w:val="24"/>
                <w:highlight w:val="none"/>
              </w:rPr>
            </w:pPr>
          </w:p>
        </w:tc>
        <w:tc>
          <w:tcPr>
            <w:tcW w:w="841" w:type="dxa"/>
          </w:tcPr>
          <w:p>
            <w:pPr>
              <w:spacing w:line="400" w:lineRule="exact"/>
              <w:jc w:val="center"/>
              <w:rPr>
                <w:rFonts w:cs="宋体" w:asciiTheme="minorEastAsia" w:hAnsiTheme="minorEastAsia" w:eastAsiaTheme="minorEastAsia"/>
                <w:color w:val="000000"/>
                <w:sz w:val="24"/>
                <w:szCs w:val="24"/>
                <w:highlight w:val="none"/>
              </w:rPr>
            </w:pPr>
          </w:p>
        </w:tc>
        <w:tc>
          <w:tcPr>
            <w:tcW w:w="811" w:type="dxa"/>
          </w:tcPr>
          <w:p>
            <w:pPr>
              <w:spacing w:line="400" w:lineRule="exact"/>
              <w:jc w:val="center"/>
              <w:rPr>
                <w:rFonts w:cs="宋体" w:asciiTheme="minorEastAsia" w:hAnsiTheme="minorEastAsia" w:eastAsiaTheme="minorEastAsia"/>
                <w:color w:val="000000"/>
                <w:sz w:val="24"/>
                <w:szCs w:val="24"/>
                <w:highlight w:val="none"/>
              </w:rPr>
            </w:pPr>
          </w:p>
        </w:tc>
        <w:tc>
          <w:tcPr>
            <w:tcW w:w="1183" w:type="dxa"/>
          </w:tcPr>
          <w:p>
            <w:pPr>
              <w:spacing w:line="400" w:lineRule="exact"/>
              <w:jc w:val="center"/>
              <w:rPr>
                <w:rFonts w:cs="宋体" w:asciiTheme="minorEastAsia" w:hAnsiTheme="minorEastAsia" w:eastAsiaTheme="minorEastAsia"/>
                <w:color w:val="000000"/>
                <w:sz w:val="24"/>
                <w:szCs w:val="24"/>
                <w:highlight w:val="none"/>
              </w:rPr>
            </w:pPr>
          </w:p>
        </w:tc>
        <w:tc>
          <w:tcPr>
            <w:tcW w:w="980" w:type="dxa"/>
          </w:tcPr>
          <w:p>
            <w:pPr>
              <w:spacing w:line="400" w:lineRule="exact"/>
              <w:jc w:val="center"/>
              <w:rPr>
                <w:rFonts w:cs="宋体" w:asciiTheme="minorEastAsia" w:hAnsiTheme="minorEastAsia" w:eastAsiaTheme="minorEastAsia"/>
                <w:color w:val="000000"/>
                <w:sz w:val="24"/>
                <w:szCs w:val="24"/>
                <w:highlight w:val="none"/>
              </w:rPr>
            </w:pPr>
          </w:p>
        </w:tc>
        <w:tc>
          <w:tcPr>
            <w:tcW w:w="1081" w:type="dxa"/>
          </w:tcPr>
          <w:p>
            <w:pPr>
              <w:spacing w:line="400" w:lineRule="exact"/>
              <w:jc w:val="center"/>
              <w:rPr>
                <w:rFonts w:cs="宋体" w:asciiTheme="minorEastAsia" w:hAnsiTheme="minorEastAsia" w:eastAsiaTheme="minorEastAsia"/>
                <w:color w:val="000000"/>
                <w:sz w:val="24"/>
                <w:szCs w:val="24"/>
                <w:highlight w:val="none"/>
              </w:rPr>
            </w:pPr>
          </w:p>
        </w:tc>
        <w:tc>
          <w:tcPr>
            <w:tcW w:w="1082" w:type="dxa"/>
          </w:tcPr>
          <w:p>
            <w:pPr>
              <w:spacing w:line="400" w:lineRule="exact"/>
              <w:jc w:val="center"/>
              <w:rPr>
                <w:rFonts w:cs="宋体" w:asciiTheme="minorEastAsia" w:hAnsiTheme="minorEastAsia" w:eastAsiaTheme="minorEastAsia"/>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1186" w:type="dxa"/>
            <w:vMerge w:val="continue"/>
          </w:tcPr>
          <w:p>
            <w:pPr>
              <w:spacing w:line="400" w:lineRule="exact"/>
              <w:jc w:val="center"/>
              <w:rPr>
                <w:rFonts w:cs="宋体" w:asciiTheme="minorEastAsia" w:hAnsiTheme="minorEastAsia" w:eastAsiaTheme="minorEastAsia"/>
                <w:color w:val="000000"/>
                <w:sz w:val="24"/>
                <w:szCs w:val="24"/>
                <w:highlight w:val="none"/>
              </w:rPr>
            </w:pPr>
          </w:p>
        </w:tc>
        <w:tc>
          <w:tcPr>
            <w:tcW w:w="810" w:type="dxa"/>
          </w:tcPr>
          <w:p>
            <w:pPr>
              <w:spacing w:line="400" w:lineRule="exact"/>
              <w:jc w:val="center"/>
              <w:rPr>
                <w:rFonts w:cs="宋体" w:asciiTheme="minorEastAsia" w:hAnsiTheme="minorEastAsia" w:eastAsiaTheme="minorEastAsia"/>
                <w:color w:val="000000"/>
                <w:sz w:val="24"/>
                <w:szCs w:val="24"/>
                <w:highlight w:val="none"/>
              </w:rPr>
            </w:pPr>
          </w:p>
        </w:tc>
        <w:tc>
          <w:tcPr>
            <w:tcW w:w="781" w:type="dxa"/>
          </w:tcPr>
          <w:p>
            <w:pPr>
              <w:spacing w:line="400" w:lineRule="exact"/>
              <w:jc w:val="center"/>
              <w:rPr>
                <w:rFonts w:cs="宋体" w:asciiTheme="minorEastAsia" w:hAnsiTheme="minorEastAsia" w:eastAsiaTheme="minorEastAsia"/>
                <w:color w:val="000000"/>
                <w:sz w:val="24"/>
                <w:szCs w:val="24"/>
                <w:highlight w:val="none"/>
              </w:rPr>
            </w:pPr>
          </w:p>
        </w:tc>
        <w:tc>
          <w:tcPr>
            <w:tcW w:w="841" w:type="dxa"/>
          </w:tcPr>
          <w:p>
            <w:pPr>
              <w:spacing w:line="400" w:lineRule="exact"/>
              <w:jc w:val="center"/>
              <w:rPr>
                <w:rFonts w:cs="宋体" w:asciiTheme="minorEastAsia" w:hAnsiTheme="minorEastAsia" w:eastAsiaTheme="minorEastAsia"/>
                <w:color w:val="000000"/>
                <w:sz w:val="24"/>
                <w:szCs w:val="24"/>
                <w:highlight w:val="none"/>
              </w:rPr>
            </w:pPr>
          </w:p>
        </w:tc>
        <w:tc>
          <w:tcPr>
            <w:tcW w:w="811" w:type="dxa"/>
          </w:tcPr>
          <w:p>
            <w:pPr>
              <w:spacing w:line="400" w:lineRule="exact"/>
              <w:jc w:val="center"/>
              <w:rPr>
                <w:rFonts w:cs="宋体" w:asciiTheme="minorEastAsia" w:hAnsiTheme="minorEastAsia" w:eastAsiaTheme="minorEastAsia"/>
                <w:color w:val="000000"/>
                <w:sz w:val="24"/>
                <w:szCs w:val="24"/>
                <w:highlight w:val="none"/>
              </w:rPr>
            </w:pPr>
          </w:p>
        </w:tc>
        <w:tc>
          <w:tcPr>
            <w:tcW w:w="1183" w:type="dxa"/>
          </w:tcPr>
          <w:p>
            <w:pPr>
              <w:spacing w:line="400" w:lineRule="exact"/>
              <w:jc w:val="center"/>
              <w:rPr>
                <w:rFonts w:cs="宋体" w:asciiTheme="minorEastAsia" w:hAnsiTheme="minorEastAsia" w:eastAsiaTheme="minorEastAsia"/>
                <w:color w:val="000000"/>
                <w:sz w:val="24"/>
                <w:szCs w:val="24"/>
                <w:highlight w:val="none"/>
              </w:rPr>
            </w:pPr>
          </w:p>
        </w:tc>
        <w:tc>
          <w:tcPr>
            <w:tcW w:w="980" w:type="dxa"/>
          </w:tcPr>
          <w:p>
            <w:pPr>
              <w:spacing w:line="400" w:lineRule="exact"/>
              <w:jc w:val="center"/>
              <w:rPr>
                <w:rFonts w:cs="宋体" w:asciiTheme="minorEastAsia" w:hAnsiTheme="minorEastAsia" w:eastAsiaTheme="minorEastAsia"/>
                <w:color w:val="000000"/>
                <w:sz w:val="24"/>
                <w:szCs w:val="24"/>
                <w:highlight w:val="none"/>
              </w:rPr>
            </w:pPr>
          </w:p>
        </w:tc>
        <w:tc>
          <w:tcPr>
            <w:tcW w:w="1081" w:type="dxa"/>
          </w:tcPr>
          <w:p>
            <w:pPr>
              <w:spacing w:line="400" w:lineRule="exact"/>
              <w:jc w:val="center"/>
              <w:rPr>
                <w:rFonts w:cs="宋体" w:asciiTheme="minorEastAsia" w:hAnsiTheme="minorEastAsia" w:eastAsiaTheme="minorEastAsia"/>
                <w:color w:val="000000"/>
                <w:sz w:val="24"/>
                <w:szCs w:val="24"/>
                <w:highlight w:val="none"/>
              </w:rPr>
            </w:pPr>
          </w:p>
        </w:tc>
        <w:tc>
          <w:tcPr>
            <w:tcW w:w="1082" w:type="dxa"/>
          </w:tcPr>
          <w:p>
            <w:pPr>
              <w:spacing w:line="400" w:lineRule="exact"/>
              <w:jc w:val="center"/>
              <w:rPr>
                <w:rFonts w:cs="宋体" w:asciiTheme="minorEastAsia" w:hAnsiTheme="minorEastAsia" w:eastAsiaTheme="minorEastAsia"/>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0" w:hRule="atLeast"/>
          <w:jc w:val="center"/>
        </w:trPr>
        <w:tc>
          <w:tcPr>
            <w:tcW w:w="1186" w:type="dxa"/>
            <w:vMerge w:val="restart"/>
            <w:vAlign w:val="center"/>
          </w:tcPr>
          <w:p>
            <w:pPr>
              <w:spacing w:line="400" w:lineRule="exact"/>
              <w:jc w:val="center"/>
              <w:rPr>
                <w:rFonts w:cs="宋体" w:asciiTheme="minorEastAsia" w:hAnsiTheme="minorEastAsia" w:eastAsiaTheme="minorEastAsia"/>
                <w:color w:val="000000"/>
                <w:sz w:val="24"/>
                <w:szCs w:val="24"/>
                <w:highlight w:val="none"/>
              </w:rPr>
            </w:pPr>
            <w:r>
              <w:rPr>
                <w:rFonts w:hint="eastAsia" w:cs="宋体" w:asciiTheme="minorEastAsia" w:hAnsiTheme="minorEastAsia" w:eastAsiaTheme="minorEastAsia"/>
                <w:color w:val="000000"/>
                <w:sz w:val="24"/>
                <w:szCs w:val="24"/>
                <w:highlight w:val="none"/>
              </w:rPr>
              <w:t>售后</w:t>
            </w:r>
          </w:p>
          <w:p>
            <w:pPr>
              <w:spacing w:line="400" w:lineRule="exact"/>
              <w:jc w:val="center"/>
              <w:rPr>
                <w:rFonts w:cs="宋体" w:asciiTheme="minorEastAsia" w:hAnsiTheme="minorEastAsia" w:eastAsiaTheme="minorEastAsia"/>
                <w:color w:val="000000"/>
                <w:sz w:val="24"/>
                <w:szCs w:val="24"/>
                <w:highlight w:val="none"/>
              </w:rPr>
            </w:pPr>
            <w:r>
              <w:rPr>
                <w:rFonts w:hint="eastAsia" w:cs="宋体" w:asciiTheme="minorEastAsia" w:hAnsiTheme="minorEastAsia" w:eastAsiaTheme="minorEastAsia"/>
                <w:color w:val="000000"/>
                <w:sz w:val="24"/>
                <w:szCs w:val="24"/>
                <w:highlight w:val="none"/>
              </w:rPr>
              <w:t>服务</w:t>
            </w:r>
          </w:p>
          <w:p>
            <w:pPr>
              <w:spacing w:line="400" w:lineRule="exact"/>
              <w:jc w:val="center"/>
              <w:rPr>
                <w:rFonts w:cs="宋体" w:asciiTheme="minorEastAsia" w:hAnsiTheme="minorEastAsia" w:eastAsiaTheme="minorEastAsia"/>
                <w:color w:val="000000"/>
                <w:sz w:val="24"/>
                <w:szCs w:val="24"/>
                <w:highlight w:val="none"/>
              </w:rPr>
            </w:pPr>
            <w:r>
              <w:rPr>
                <w:rFonts w:hint="eastAsia" w:cs="宋体" w:asciiTheme="minorEastAsia" w:hAnsiTheme="minorEastAsia" w:eastAsiaTheme="minorEastAsia"/>
                <w:color w:val="000000"/>
                <w:sz w:val="24"/>
                <w:szCs w:val="24"/>
                <w:highlight w:val="none"/>
              </w:rPr>
              <w:t>人员</w:t>
            </w:r>
          </w:p>
        </w:tc>
        <w:tc>
          <w:tcPr>
            <w:tcW w:w="810" w:type="dxa"/>
          </w:tcPr>
          <w:p>
            <w:pPr>
              <w:spacing w:line="400" w:lineRule="exact"/>
              <w:jc w:val="center"/>
              <w:rPr>
                <w:rFonts w:cs="宋体" w:asciiTheme="minorEastAsia" w:hAnsiTheme="minorEastAsia" w:eastAsiaTheme="minorEastAsia"/>
                <w:color w:val="000000"/>
                <w:sz w:val="24"/>
                <w:szCs w:val="24"/>
                <w:highlight w:val="none"/>
              </w:rPr>
            </w:pPr>
          </w:p>
        </w:tc>
        <w:tc>
          <w:tcPr>
            <w:tcW w:w="781" w:type="dxa"/>
          </w:tcPr>
          <w:p>
            <w:pPr>
              <w:spacing w:line="400" w:lineRule="exact"/>
              <w:jc w:val="center"/>
              <w:rPr>
                <w:rFonts w:cs="宋体" w:asciiTheme="minorEastAsia" w:hAnsiTheme="minorEastAsia" w:eastAsiaTheme="minorEastAsia"/>
                <w:color w:val="000000"/>
                <w:sz w:val="24"/>
                <w:szCs w:val="24"/>
                <w:highlight w:val="none"/>
              </w:rPr>
            </w:pPr>
          </w:p>
        </w:tc>
        <w:tc>
          <w:tcPr>
            <w:tcW w:w="841" w:type="dxa"/>
          </w:tcPr>
          <w:p>
            <w:pPr>
              <w:spacing w:line="400" w:lineRule="exact"/>
              <w:jc w:val="center"/>
              <w:rPr>
                <w:rFonts w:cs="宋体" w:asciiTheme="minorEastAsia" w:hAnsiTheme="minorEastAsia" w:eastAsiaTheme="minorEastAsia"/>
                <w:color w:val="000000"/>
                <w:sz w:val="24"/>
                <w:szCs w:val="24"/>
                <w:highlight w:val="none"/>
              </w:rPr>
            </w:pPr>
          </w:p>
        </w:tc>
        <w:tc>
          <w:tcPr>
            <w:tcW w:w="811" w:type="dxa"/>
          </w:tcPr>
          <w:p>
            <w:pPr>
              <w:spacing w:line="400" w:lineRule="exact"/>
              <w:jc w:val="center"/>
              <w:rPr>
                <w:rFonts w:cs="宋体" w:asciiTheme="minorEastAsia" w:hAnsiTheme="minorEastAsia" w:eastAsiaTheme="minorEastAsia"/>
                <w:color w:val="000000"/>
                <w:sz w:val="24"/>
                <w:szCs w:val="24"/>
                <w:highlight w:val="none"/>
              </w:rPr>
            </w:pPr>
          </w:p>
        </w:tc>
        <w:tc>
          <w:tcPr>
            <w:tcW w:w="1183" w:type="dxa"/>
          </w:tcPr>
          <w:p>
            <w:pPr>
              <w:spacing w:line="400" w:lineRule="exact"/>
              <w:jc w:val="center"/>
              <w:rPr>
                <w:rFonts w:cs="宋体" w:asciiTheme="minorEastAsia" w:hAnsiTheme="minorEastAsia" w:eastAsiaTheme="minorEastAsia"/>
                <w:color w:val="000000"/>
                <w:sz w:val="24"/>
                <w:szCs w:val="24"/>
                <w:highlight w:val="none"/>
              </w:rPr>
            </w:pPr>
          </w:p>
        </w:tc>
        <w:tc>
          <w:tcPr>
            <w:tcW w:w="980" w:type="dxa"/>
          </w:tcPr>
          <w:p>
            <w:pPr>
              <w:spacing w:line="400" w:lineRule="exact"/>
              <w:jc w:val="center"/>
              <w:rPr>
                <w:rFonts w:cs="宋体" w:asciiTheme="minorEastAsia" w:hAnsiTheme="minorEastAsia" w:eastAsiaTheme="minorEastAsia"/>
                <w:color w:val="000000"/>
                <w:sz w:val="24"/>
                <w:szCs w:val="24"/>
                <w:highlight w:val="none"/>
              </w:rPr>
            </w:pPr>
          </w:p>
        </w:tc>
        <w:tc>
          <w:tcPr>
            <w:tcW w:w="1081" w:type="dxa"/>
          </w:tcPr>
          <w:p>
            <w:pPr>
              <w:spacing w:line="400" w:lineRule="exact"/>
              <w:jc w:val="center"/>
              <w:rPr>
                <w:rFonts w:cs="宋体" w:asciiTheme="minorEastAsia" w:hAnsiTheme="minorEastAsia" w:eastAsiaTheme="minorEastAsia"/>
                <w:color w:val="000000"/>
                <w:sz w:val="24"/>
                <w:szCs w:val="24"/>
                <w:highlight w:val="none"/>
              </w:rPr>
            </w:pPr>
          </w:p>
        </w:tc>
        <w:tc>
          <w:tcPr>
            <w:tcW w:w="1082" w:type="dxa"/>
          </w:tcPr>
          <w:p>
            <w:pPr>
              <w:spacing w:line="400" w:lineRule="exact"/>
              <w:jc w:val="center"/>
              <w:rPr>
                <w:rFonts w:cs="宋体" w:asciiTheme="minorEastAsia" w:hAnsiTheme="minorEastAsia" w:eastAsiaTheme="minorEastAsia"/>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0" w:hRule="atLeast"/>
          <w:jc w:val="center"/>
        </w:trPr>
        <w:tc>
          <w:tcPr>
            <w:tcW w:w="1186" w:type="dxa"/>
            <w:vMerge w:val="continue"/>
          </w:tcPr>
          <w:p>
            <w:pPr>
              <w:spacing w:line="400" w:lineRule="exact"/>
              <w:jc w:val="center"/>
              <w:rPr>
                <w:rFonts w:cs="宋体" w:asciiTheme="minorEastAsia" w:hAnsiTheme="minorEastAsia" w:eastAsiaTheme="minorEastAsia"/>
                <w:color w:val="000000"/>
                <w:sz w:val="24"/>
                <w:szCs w:val="24"/>
                <w:highlight w:val="none"/>
              </w:rPr>
            </w:pPr>
          </w:p>
        </w:tc>
        <w:tc>
          <w:tcPr>
            <w:tcW w:w="810" w:type="dxa"/>
          </w:tcPr>
          <w:p>
            <w:pPr>
              <w:spacing w:line="400" w:lineRule="exact"/>
              <w:jc w:val="center"/>
              <w:rPr>
                <w:rFonts w:cs="宋体" w:asciiTheme="minorEastAsia" w:hAnsiTheme="minorEastAsia" w:eastAsiaTheme="minorEastAsia"/>
                <w:color w:val="000000"/>
                <w:sz w:val="24"/>
                <w:szCs w:val="24"/>
                <w:highlight w:val="none"/>
              </w:rPr>
            </w:pPr>
          </w:p>
        </w:tc>
        <w:tc>
          <w:tcPr>
            <w:tcW w:w="781" w:type="dxa"/>
          </w:tcPr>
          <w:p>
            <w:pPr>
              <w:spacing w:line="400" w:lineRule="exact"/>
              <w:jc w:val="center"/>
              <w:rPr>
                <w:rFonts w:cs="宋体" w:asciiTheme="minorEastAsia" w:hAnsiTheme="minorEastAsia" w:eastAsiaTheme="minorEastAsia"/>
                <w:bCs/>
                <w:color w:val="000000"/>
                <w:sz w:val="24"/>
                <w:szCs w:val="24"/>
                <w:highlight w:val="none"/>
              </w:rPr>
            </w:pPr>
          </w:p>
        </w:tc>
        <w:tc>
          <w:tcPr>
            <w:tcW w:w="841" w:type="dxa"/>
          </w:tcPr>
          <w:p>
            <w:pPr>
              <w:spacing w:line="400" w:lineRule="exact"/>
              <w:jc w:val="center"/>
              <w:rPr>
                <w:rFonts w:cs="宋体" w:asciiTheme="minorEastAsia" w:hAnsiTheme="minorEastAsia" w:eastAsiaTheme="minorEastAsia"/>
                <w:bCs/>
                <w:color w:val="000000"/>
                <w:sz w:val="24"/>
                <w:szCs w:val="24"/>
                <w:highlight w:val="none"/>
              </w:rPr>
            </w:pPr>
          </w:p>
        </w:tc>
        <w:tc>
          <w:tcPr>
            <w:tcW w:w="811" w:type="dxa"/>
          </w:tcPr>
          <w:p>
            <w:pPr>
              <w:spacing w:line="400" w:lineRule="exact"/>
              <w:jc w:val="center"/>
              <w:rPr>
                <w:rFonts w:cs="宋体" w:asciiTheme="minorEastAsia" w:hAnsiTheme="minorEastAsia" w:eastAsiaTheme="minorEastAsia"/>
                <w:bCs/>
                <w:color w:val="000000"/>
                <w:sz w:val="24"/>
                <w:szCs w:val="24"/>
                <w:highlight w:val="none"/>
              </w:rPr>
            </w:pPr>
          </w:p>
        </w:tc>
        <w:tc>
          <w:tcPr>
            <w:tcW w:w="1183" w:type="dxa"/>
          </w:tcPr>
          <w:p>
            <w:pPr>
              <w:spacing w:line="400" w:lineRule="exact"/>
              <w:jc w:val="center"/>
              <w:rPr>
                <w:rFonts w:cs="宋体" w:asciiTheme="minorEastAsia" w:hAnsiTheme="minorEastAsia" w:eastAsiaTheme="minorEastAsia"/>
                <w:bCs/>
                <w:color w:val="000000"/>
                <w:sz w:val="24"/>
                <w:szCs w:val="24"/>
                <w:highlight w:val="none"/>
              </w:rPr>
            </w:pPr>
          </w:p>
        </w:tc>
        <w:tc>
          <w:tcPr>
            <w:tcW w:w="980" w:type="dxa"/>
          </w:tcPr>
          <w:p>
            <w:pPr>
              <w:spacing w:line="400" w:lineRule="exact"/>
              <w:jc w:val="center"/>
              <w:rPr>
                <w:rFonts w:cs="宋体" w:asciiTheme="minorEastAsia" w:hAnsiTheme="minorEastAsia" w:eastAsiaTheme="minorEastAsia"/>
                <w:bCs/>
                <w:color w:val="000000"/>
                <w:sz w:val="24"/>
                <w:szCs w:val="24"/>
                <w:highlight w:val="none"/>
              </w:rPr>
            </w:pPr>
          </w:p>
        </w:tc>
        <w:tc>
          <w:tcPr>
            <w:tcW w:w="1081" w:type="dxa"/>
          </w:tcPr>
          <w:p>
            <w:pPr>
              <w:spacing w:line="400" w:lineRule="exact"/>
              <w:jc w:val="center"/>
              <w:rPr>
                <w:rFonts w:cs="宋体" w:asciiTheme="minorEastAsia" w:hAnsiTheme="minorEastAsia" w:eastAsiaTheme="minorEastAsia"/>
                <w:bCs/>
                <w:color w:val="000000"/>
                <w:sz w:val="24"/>
                <w:szCs w:val="24"/>
                <w:highlight w:val="none"/>
              </w:rPr>
            </w:pPr>
          </w:p>
        </w:tc>
        <w:tc>
          <w:tcPr>
            <w:tcW w:w="1082" w:type="dxa"/>
          </w:tcPr>
          <w:p>
            <w:pPr>
              <w:spacing w:line="400" w:lineRule="exact"/>
              <w:jc w:val="center"/>
              <w:rPr>
                <w:rFonts w:cs="宋体" w:asciiTheme="minorEastAsia" w:hAnsiTheme="minorEastAsia" w:eastAsiaTheme="minorEastAsia"/>
                <w:bCs/>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0" w:hRule="atLeast"/>
          <w:jc w:val="center"/>
        </w:trPr>
        <w:tc>
          <w:tcPr>
            <w:tcW w:w="1186" w:type="dxa"/>
            <w:vMerge w:val="continue"/>
          </w:tcPr>
          <w:p>
            <w:pPr>
              <w:spacing w:line="400" w:lineRule="exact"/>
              <w:jc w:val="center"/>
              <w:rPr>
                <w:rFonts w:cs="宋体" w:asciiTheme="minorEastAsia" w:hAnsiTheme="minorEastAsia" w:eastAsiaTheme="minorEastAsia"/>
                <w:color w:val="000000"/>
                <w:sz w:val="24"/>
                <w:szCs w:val="24"/>
                <w:highlight w:val="none"/>
              </w:rPr>
            </w:pPr>
          </w:p>
        </w:tc>
        <w:tc>
          <w:tcPr>
            <w:tcW w:w="810" w:type="dxa"/>
          </w:tcPr>
          <w:p>
            <w:pPr>
              <w:spacing w:line="400" w:lineRule="exact"/>
              <w:jc w:val="center"/>
              <w:rPr>
                <w:rFonts w:cs="宋体" w:asciiTheme="minorEastAsia" w:hAnsiTheme="minorEastAsia" w:eastAsiaTheme="minorEastAsia"/>
                <w:color w:val="000000"/>
                <w:sz w:val="24"/>
                <w:szCs w:val="24"/>
                <w:highlight w:val="none"/>
              </w:rPr>
            </w:pPr>
          </w:p>
        </w:tc>
        <w:tc>
          <w:tcPr>
            <w:tcW w:w="781" w:type="dxa"/>
          </w:tcPr>
          <w:p>
            <w:pPr>
              <w:spacing w:line="400" w:lineRule="exact"/>
              <w:jc w:val="center"/>
              <w:rPr>
                <w:rFonts w:cs="宋体" w:asciiTheme="minorEastAsia" w:hAnsiTheme="minorEastAsia" w:eastAsiaTheme="minorEastAsia"/>
                <w:bCs/>
                <w:color w:val="000000"/>
                <w:sz w:val="24"/>
                <w:szCs w:val="24"/>
                <w:highlight w:val="none"/>
              </w:rPr>
            </w:pPr>
          </w:p>
        </w:tc>
        <w:tc>
          <w:tcPr>
            <w:tcW w:w="841" w:type="dxa"/>
          </w:tcPr>
          <w:p>
            <w:pPr>
              <w:spacing w:line="400" w:lineRule="exact"/>
              <w:jc w:val="center"/>
              <w:rPr>
                <w:rFonts w:cs="宋体" w:asciiTheme="minorEastAsia" w:hAnsiTheme="minorEastAsia" w:eastAsiaTheme="minorEastAsia"/>
                <w:bCs/>
                <w:color w:val="000000"/>
                <w:sz w:val="24"/>
                <w:szCs w:val="24"/>
                <w:highlight w:val="none"/>
              </w:rPr>
            </w:pPr>
          </w:p>
        </w:tc>
        <w:tc>
          <w:tcPr>
            <w:tcW w:w="811" w:type="dxa"/>
          </w:tcPr>
          <w:p>
            <w:pPr>
              <w:spacing w:line="400" w:lineRule="exact"/>
              <w:jc w:val="center"/>
              <w:rPr>
                <w:rFonts w:cs="宋体" w:asciiTheme="minorEastAsia" w:hAnsiTheme="minorEastAsia" w:eastAsiaTheme="minorEastAsia"/>
                <w:bCs/>
                <w:color w:val="000000"/>
                <w:sz w:val="24"/>
                <w:szCs w:val="24"/>
                <w:highlight w:val="none"/>
              </w:rPr>
            </w:pPr>
          </w:p>
        </w:tc>
        <w:tc>
          <w:tcPr>
            <w:tcW w:w="1183" w:type="dxa"/>
          </w:tcPr>
          <w:p>
            <w:pPr>
              <w:spacing w:line="400" w:lineRule="exact"/>
              <w:jc w:val="center"/>
              <w:rPr>
                <w:rFonts w:cs="宋体" w:asciiTheme="minorEastAsia" w:hAnsiTheme="minorEastAsia" w:eastAsiaTheme="minorEastAsia"/>
                <w:bCs/>
                <w:color w:val="000000"/>
                <w:sz w:val="24"/>
                <w:szCs w:val="24"/>
                <w:highlight w:val="none"/>
              </w:rPr>
            </w:pPr>
          </w:p>
        </w:tc>
        <w:tc>
          <w:tcPr>
            <w:tcW w:w="980" w:type="dxa"/>
          </w:tcPr>
          <w:p>
            <w:pPr>
              <w:spacing w:line="400" w:lineRule="exact"/>
              <w:jc w:val="center"/>
              <w:rPr>
                <w:rFonts w:cs="宋体" w:asciiTheme="minorEastAsia" w:hAnsiTheme="minorEastAsia" w:eastAsiaTheme="minorEastAsia"/>
                <w:bCs/>
                <w:color w:val="000000"/>
                <w:sz w:val="24"/>
                <w:szCs w:val="24"/>
                <w:highlight w:val="none"/>
              </w:rPr>
            </w:pPr>
          </w:p>
        </w:tc>
        <w:tc>
          <w:tcPr>
            <w:tcW w:w="1081" w:type="dxa"/>
          </w:tcPr>
          <w:p>
            <w:pPr>
              <w:spacing w:line="400" w:lineRule="exact"/>
              <w:jc w:val="center"/>
              <w:rPr>
                <w:rFonts w:cs="宋体" w:asciiTheme="minorEastAsia" w:hAnsiTheme="minorEastAsia" w:eastAsiaTheme="minorEastAsia"/>
                <w:bCs/>
                <w:color w:val="000000"/>
                <w:sz w:val="24"/>
                <w:szCs w:val="24"/>
                <w:highlight w:val="none"/>
              </w:rPr>
            </w:pPr>
          </w:p>
        </w:tc>
        <w:tc>
          <w:tcPr>
            <w:tcW w:w="1082" w:type="dxa"/>
          </w:tcPr>
          <w:p>
            <w:pPr>
              <w:spacing w:line="400" w:lineRule="exact"/>
              <w:jc w:val="center"/>
              <w:rPr>
                <w:rFonts w:cs="宋体" w:asciiTheme="minorEastAsia" w:hAnsiTheme="minorEastAsia" w:eastAsiaTheme="minorEastAsia"/>
                <w:bCs/>
                <w:color w:val="000000"/>
                <w:sz w:val="24"/>
                <w:szCs w:val="24"/>
                <w:highlight w:val="none"/>
              </w:rPr>
            </w:pPr>
          </w:p>
        </w:tc>
      </w:tr>
    </w:tbl>
    <w:p>
      <w:pPr>
        <w:wordWrap w:val="0"/>
        <w:topLinePunct/>
        <w:spacing w:line="360" w:lineRule="auto"/>
        <w:rPr>
          <w:rFonts w:ascii="宋体" w:hAnsi="宋体"/>
          <w:sz w:val="24"/>
          <w:highlight w:val="none"/>
        </w:rPr>
      </w:pPr>
      <w:r>
        <w:rPr>
          <w:rFonts w:hint="eastAsia" w:ascii="宋体" w:hAnsi="宋体"/>
          <w:sz w:val="24"/>
          <w:highlight w:val="none"/>
        </w:rPr>
        <w:t>备注：招标项目对人员有要求的，在本表下方附相关证件复印件。</w:t>
      </w:r>
    </w:p>
    <w:p>
      <w:pPr>
        <w:spacing w:line="400" w:lineRule="exact"/>
        <w:rPr>
          <w:rFonts w:ascii="宋体" w:hAnsi="宋体"/>
          <w:bCs/>
          <w:sz w:val="24"/>
          <w:szCs w:val="24"/>
          <w:highlight w:val="none"/>
        </w:rPr>
      </w:pPr>
    </w:p>
    <w:p>
      <w:pPr>
        <w:wordWrap w:val="0"/>
        <w:topLinePunct/>
        <w:spacing w:line="360" w:lineRule="auto"/>
        <w:rPr>
          <w:rFonts w:ascii="宋体" w:hAnsi="宋体"/>
          <w:bCs/>
          <w:sz w:val="24"/>
          <w:highlight w:val="none"/>
        </w:rPr>
      </w:pPr>
    </w:p>
    <w:p>
      <w:pPr>
        <w:widowControl/>
        <w:jc w:val="left"/>
        <w:rPr>
          <w:rFonts w:ascii="宋体" w:hAnsi="宋体"/>
          <w:bCs/>
          <w:sz w:val="24"/>
          <w:highlight w:val="none"/>
        </w:rPr>
      </w:pPr>
      <w:r>
        <w:rPr>
          <w:rFonts w:ascii="宋体" w:hAnsi="宋体"/>
          <w:bCs/>
          <w:sz w:val="24"/>
          <w:highlight w:val="none"/>
        </w:rPr>
        <w:br w:type="page"/>
      </w:r>
    </w:p>
    <w:p>
      <w:pPr>
        <w:jc w:val="center"/>
        <w:rPr>
          <w:rFonts w:ascii="宋体" w:hAnsi="宋体" w:cs="宋体"/>
          <w:b/>
          <w:sz w:val="32"/>
          <w:highlight w:val="none"/>
        </w:rPr>
      </w:pPr>
      <w:r>
        <w:rPr>
          <w:rFonts w:hint="eastAsia" w:ascii="宋体" w:hAnsi="宋体" w:cs="宋体"/>
          <w:b/>
          <w:sz w:val="32"/>
          <w:highlight w:val="none"/>
        </w:rPr>
        <w:t>十三、投标人类似项目业绩一览表</w:t>
      </w:r>
    </w:p>
    <w:p>
      <w:pPr>
        <w:topLinePunct/>
        <w:spacing w:line="360" w:lineRule="auto"/>
        <w:ind w:firstLine="900" w:firstLineChars="250"/>
        <w:jc w:val="center"/>
        <w:rPr>
          <w:rFonts w:ascii="宋体" w:hAnsi="宋体"/>
          <w:bCs/>
          <w:sz w:val="36"/>
          <w:szCs w:val="36"/>
          <w:highlight w:val="none"/>
        </w:rPr>
      </w:pPr>
    </w:p>
    <w:tbl>
      <w:tblPr>
        <w:tblStyle w:val="19"/>
        <w:tblW w:w="8287"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
      <w:tblGrid>
        <w:gridCol w:w="720"/>
        <w:gridCol w:w="1440"/>
        <w:gridCol w:w="1320"/>
        <w:gridCol w:w="1161"/>
        <w:gridCol w:w="1166"/>
        <w:gridCol w:w="1272"/>
        <w:gridCol w:w="1199"/>
        <w:gridCol w:w="9"/>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gridAfter w:val="1"/>
          <w:wAfter w:w="9" w:type="dxa"/>
          <w:cantSplit/>
          <w:trHeight w:val="600" w:hRule="atLeast"/>
          <w:jc w:val="center"/>
        </w:trPr>
        <w:tc>
          <w:tcPr>
            <w:tcW w:w="720" w:type="dxa"/>
            <w:tcBorders>
              <w:top w:val="single" w:color="auto" w:sz="4" w:space="0"/>
              <w:left w:val="single" w:color="auto" w:sz="4" w:space="0"/>
              <w:bottom w:val="single" w:color="auto" w:sz="6" w:space="0"/>
              <w:right w:val="single" w:color="auto" w:sz="6" w:space="0"/>
            </w:tcBorders>
            <w:vAlign w:val="center"/>
          </w:tcPr>
          <w:p>
            <w:pPr>
              <w:wordWrap w:val="0"/>
              <w:topLinePunct/>
              <w:spacing w:line="400" w:lineRule="exact"/>
              <w:ind w:firstLine="120" w:firstLineChars="50"/>
              <w:rPr>
                <w:rFonts w:cs="Arial" w:asciiTheme="minorEastAsia" w:hAnsiTheme="minorEastAsia" w:eastAsiaTheme="minorEastAsia"/>
                <w:b/>
                <w:sz w:val="24"/>
                <w:szCs w:val="24"/>
                <w:highlight w:val="none"/>
              </w:rPr>
            </w:pPr>
            <w:r>
              <w:rPr>
                <w:rFonts w:hint="eastAsia" w:cs="Arial" w:asciiTheme="minorEastAsia" w:hAnsiTheme="minorEastAsia" w:eastAsiaTheme="minorEastAsia"/>
                <w:b/>
                <w:sz w:val="24"/>
                <w:szCs w:val="24"/>
                <w:highlight w:val="none"/>
              </w:rPr>
              <w:t>年份</w:t>
            </w:r>
          </w:p>
        </w:tc>
        <w:tc>
          <w:tcPr>
            <w:tcW w:w="1440" w:type="dxa"/>
            <w:tcBorders>
              <w:top w:val="single" w:color="auto" w:sz="4" w:space="0"/>
              <w:left w:val="single" w:color="auto" w:sz="6" w:space="0"/>
              <w:bottom w:val="single" w:color="auto" w:sz="6" w:space="0"/>
              <w:right w:val="single" w:color="auto" w:sz="6" w:space="0"/>
            </w:tcBorders>
            <w:vAlign w:val="center"/>
          </w:tcPr>
          <w:p>
            <w:pPr>
              <w:wordWrap w:val="0"/>
              <w:topLinePunct/>
              <w:spacing w:line="400" w:lineRule="exact"/>
              <w:jc w:val="center"/>
              <w:rPr>
                <w:rFonts w:cs="Arial" w:asciiTheme="minorEastAsia" w:hAnsiTheme="minorEastAsia" w:eastAsiaTheme="minorEastAsia"/>
                <w:b/>
                <w:sz w:val="24"/>
                <w:szCs w:val="24"/>
                <w:highlight w:val="none"/>
              </w:rPr>
            </w:pPr>
            <w:r>
              <w:rPr>
                <w:rFonts w:hint="eastAsia" w:cs="Arial" w:asciiTheme="minorEastAsia" w:hAnsiTheme="minorEastAsia" w:eastAsiaTheme="minorEastAsia"/>
                <w:b/>
                <w:sz w:val="24"/>
                <w:szCs w:val="24"/>
                <w:highlight w:val="none"/>
              </w:rPr>
              <w:t>用户名称</w:t>
            </w:r>
          </w:p>
        </w:tc>
        <w:tc>
          <w:tcPr>
            <w:tcW w:w="1320" w:type="dxa"/>
            <w:tcBorders>
              <w:top w:val="single" w:color="auto" w:sz="4" w:space="0"/>
              <w:left w:val="single" w:color="auto" w:sz="6" w:space="0"/>
              <w:bottom w:val="single" w:color="auto" w:sz="6" w:space="0"/>
              <w:right w:val="single" w:color="auto" w:sz="6" w:space="0"/>
            </w:tcBorders>
            <w:vAlign w:val="center"/>
          </w:tcPr>
          <w:p>
            <w:pPr>
              <w:wordWrap w:val="0"/>
              <w:topLinePunct/>
              <w:spacing w:line="400" w:lineRule="exact"/>
              <w:jc w:val="center"/>
              <w:rPr>
                <w:rFonts w:cs="Arial" w:asciiTheme="minorEastAsia" w:hAnsiTheme="minorEastAsia" w:eastAsiaTheme="minorEastAsia"/>
                <w:b/>
                <w:sz w:val="24"/>
                <w:szCs w:val="24"/>
                <w:highlight w:val="none"/>
              </w:rPr>
            </w:pPr>
            <w:r>
              <w:rPr>
                <w:rFonts w:hint="eastAsia" w:cs="Arial" w:asciiTheme="minorEastAsia" w:hAnsiTheme="minorEastAsia" w:eastAsiaTheme="minorEastAsia"/>
                <w:b/>
                <w:sz w:val="24"/>
                <w:szCs w:val="24"/>
                <w:highlight w:val="none"/>
              </w:rPr>
              <w:t>项目名称</w:t>
            </w:r>
          </w:p>
        </w:tc>
        <w:tc>
          <w:tcPr>
            <w:tcW w:w="1161" w:type="dxa"/>
            <w:tcBorders>
              <w:top w:val="single" w:color="auto" w:sz="4" w:space="0"/>
              <w:left w:val="single" w:color="auto" w:sz="6" w:space="0"/>
              <w:bottom w:val="single" w:color="auto" w:sz="6" w:space="0"/>
              <w:right w:val="single" w:color="auto" w:sz="6" w:space="0"/>
            </w:tcBorders>
            <w:vAlign w:val="center"/>
          </w:tcPr>
          <w:p>
            <w:pPr>
              <w:wordWrap w:val="0"/>
              <w:topLinePunct/>
              <w:spacing w:line="400" w:lineRule="exact"/>
              <w:jc w:val="center"/>
              <w:rPr>
                <w:rFonts w:cs="Arial" w:asciiTheme="minorEastAsia" w:hAnsiTheme="minorEastAsia" w:eastAsiaTheme="minorEastAsia"/>
                <w:b/>
                <w:sz w:val="24"/>
                <w:szCs w:val="24"/>
                <w:highlight w:val="none"/>
              </w:rPr>
            </w:pPr>
            <w:r>
              <w:rPr>
                <w:rFonts w:hint="eastAsia" w:cs="Arial" w:asciiTheme="minorEastAsia" w:hAnsiTheme="minorEastAsia" w:eastAsiaTheme="minorEastAsia"/>
                <w:b/>
                <w:sz w:val="24"/>
                <w:szCs w:val="24"/>
                <w:highlight w:val="none"/>
              </w:rPr>
              <w:t>合同签定时间</w:t>
            </w:r>
          </w:p>
        </w:tc>
        <w:tc>
          <w:tcPr>
            <w:tcW w:w="1166" w:type="dxa"/>
            <w:tcBorders>
              <w:top w:val="single" w:color="auto" w:sz="4" w:space="0"/>
              <w:left w:val="single" w:color="auto" w:sz="6" w:space="0"/>
              <w:bottom w:val="single" w:color="auto" w:sz="6" w:space="0"/>
              <w:right w:val="single" w:color="auto" w:sz="6" w:space="0"/>
            </w:tcBorders>
          </w:tcPr>
          <w:p>
            <w:pPr>
              <w:topLinePunct/>
              <w:spacing w:line="400" w:lineRule="exact"/>
              <w:ind w:firstLine="120" w:firstLineChars="50"/>
              <w:jc w:val="center"/>
              <w:rPr>
                <w:rFonts w:cs="Arial" w:asciiTheme="minorEastAsia" w:hAnsiTheme="minorEastAsia" w:eastAsiaTheme="minorEastAsia"/>
                <w:b/>
                <w:sz w:val="24"/>
                <w:szCs w:val="24"/>
                <w:highlight w:val="none"/>
              </w:rPr>
            </w:pPr>
            <w:r>
              <w:rPr>
                <w:rFonts w:hint="eastAsia" w:cs="Arial" w:asciiTheme="minorEastAsia" w:hAnsiTheme="minorEastAsia" w:eastAsiaTheme="minorEastAsia"/>
                <w:b/>
                <w:sz w:val="24"/>
                <w:szCs w:val="24"/>
                <w:highlight w:val="none"/>
              </w:rPr>
              <w:t>合同完成时间</w:t>
            </w:r>
          </w:p>
        </w:tc>
        <w:tc>
          <w:tcPr>
            <w:tcW w:w="1272" w:type="dxa"/>
            <w:tcBorders>
              <w:top w:val="single" w:color="auto" w:sz="4" w:space="0"/>
              <w:left w:val="single" w:color="auto" w:sz="6" w:space="0"/>
              <w:bottom w:val="single" w:color="auto" w:sz="6" w:space="0"/>
              <w:right w:val="single" w:color="auto" w:sz="6" w:space="0"/>
            </w:tcBorders>
            <w:vAlign w:val="center"/>
          </w:tcPr>
          <w:p>
            <w:pPr>
              <w:wordWrap w:val="0"/>
              <w:topLinePunct/>
              <w:spacing w:line="400" w:lineRule="exact"/>
              <w:ind w:firstLine="120" w:firstLineChars="50"/>
              <w:rPr>
                <w:rFonts w:cs="Arial" w:asciiTheme="minorEastAsia" w:hAnsiTheme="minorEastAsia" w:eastAsiaTheme="minorEastAsia"/>
                <w:b/>
                <w:sz w:val="24"/>
                <w:szCs w:val="24"/>
                <w:highlight w:val="none"/>
              </w:rPr>
            </w:pPr>
            <w:r>
              <w:rPr>
                <w:rFonts w:hint="eastAsia" w:cs="Arial" w:asciiTheme="minorEastAsia" w:hAnsiTheme="minorEastAsia" w:eastAsiaTheme="minorEastAsia"/>
                <w:b/>
                <w:sz w:val="24"/>
                <w:szCs w:val="24"/>
                <w:highlight w:val="none"/>
              </w:rPr>
              <w:t>合同金额</w:t>
            </w:r>
          </w:p>
        </w:tc>
        <w:tc>
          <w:tcPr>
            <w:tcW w:w="1199" w:type="dxa"/>
            <w:tcBorders>
              <w:top w:val="single" w:color="auto" w:sz="4" w:space="0"/>
              <w:left w:val="single" w:color="auto" w:sz="4" w:space="0"/>
              <w:bottom w:val="single" w:color="auto" w:sz="6" w:space="0"/>
              <w:right w:val="single" w:color="auto" w:sz="4" w:space="0"/>
            </w:tcBorders>
            <w:vAlign w:val="center"/>
          </w:tcPr>
          <w:p>
            <w:pPr>
              <w:wordWrap w:val="0"/>
              <w:topLinePunct/>
              <w:spacing w:line="400" w:lineRule="exact"/>
              <w:rPr>
                <w:rFonts w:cs="Arial" w:asciiTheme="minorEastAsia" w:hAnsiTheme="minorEastAsia" w:eastAsiaTheme="minorEastAsia"/>
                <w:b/>
                <w:sz w:val="24"/>
                <w:szCs w:val="24"/>
                <w:highlight w:val="none"/>
              </w:rPr>
            </w:pPr>
            <w:r>
              <w:rPr>
                <w:rFonts w:hint="eastAsia" w:cs="Arial" w:asciiTheme="minorEastAsia" w:hAnsiTheme="minorEastAsia" w:eastAsiaTheme="minorEastAsia"/>
                <w:b/>
                <w:sz w:val="24"/>
                <w:szCs w:val="24"/>
                <w:highlight w:val="none"/>
              </w:rPr>
              <w:t xml:space="preserve">   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gridAfter w:val="1"/>
          <w:wAfter w:w="9" w:type="dxa"/>
          <w:cantSplit/>
          <w:trHeight w:val="600" w:hRule="atLeast"/>
          <w:jc w:val="center"/>
        </w:trPr>
        <w:tc>
          <w:tcPr>
            <w:tcW w:w="720" w:type="dxa"/>
            <w:tcBorders>
              <w:top w:val="single" w:color="auto" w:sz="6" w:space="0"/>
              <w:left w:val="single" w:color="auto" w:sz="4" w:space="0"/>
              <w:bottom w:val="single" w:color="auto" w:sz="6" w:space="0"/>
              <w:right w:val="single" w:color="auto" w:sz="6" w:space="0"/>
            </w:tcBorders>
            <w:vAlign w:val="center"/>
          </w:tcPr>
          <w:p>
            <w:pPr>
              <w:wordWrap w:val="0"/>
              <w:topLinePunct/>
              <w:spacing w:line="400" w:lineRule="exact"/>
              <w:jc w:val="center"/>
              <w:rPr>
                <w:rFonts w:cs="Arial" w:asciiTheme="minorEastAsia" w:hAnsiTheme="minorEastAsia" w:eastAsiaTheme="minorEastAsia"/>
                <w:sz w:val="24"/>
                <w:szCs w:val="24"/>
                <w:highlight w:val="none"/>
              </w:rPr>
            </w:pPr>
          </w:p>
        </w:tc>
        <w:tc>
          <w:tcPr>
            <w:tcW w:w="1440" w:type="dxa"/>
            <w:tcBorders>
              <w:top w:val="single" w:color="auto" w:sz="6" w:space="0"/>
              <w:left w:val="single" w:color="auto" w:sz="6" w:space="0"/>
              <w:bottom w:val="single" w:color="auto" w:sz="6" w:space="0"/>
              <w:right w:val="single" w:color="auto" w:sz="6" w:space="0"/>
            </w:tcBorders>
            <w:vAlign w:val="center"/>
          </w:tcPr>
          <w:p>
            <w:pPr>
              <w:wordWrap w:val="0"/>
              <w:topLinePunct/>
              <w:spacing w:line="400" w:lineRule="exact"/>
              <w:jc w:val="center"/>
              <w:rPr>
                <w:rFonts w:cs="Arial" w:asciiTheme="minorEastAsia" w:hAnsiTheme="minorEastAsia" w:eastAsiaTheme="minorEastAsia"/>
                <w:sz w:val="24"/>
                <w:szCs w:val="24"/>
                <w:highlight w:val="none"/>
              </w:rPr>
            </w:pPr>
          </w:p>
        </w:tc>
        <w:tc>
          <w:tcPr>
            <w:tcW w:w="1320" w:type="dxa"/>
            <w:tcBorders>
              <w:top w:val="single" w:color="auto" w:sz="6" w:space="0"/>
              <w:left w:val="single" w:color="auto" w:sz="6" w:space="0"/>
              <w:bottom w:val="single" w:color="auto" w:sz="6" w:space="0"/>
              <w:right w:val="single" w:color="auto" w:sz="6" w:space="0"/>
            </w:tcBorders>
            <w:vAlign w:val="center"/>
          </w:tcPr>
          <w:p>
            <w:pPr>
              <w:wordWrap w:val="0"/>
              <w:topLinePunct/>
              <w:spacing w:line="400" w:lineRule="exact"/>
              <w:jc w:val="center"/>
              <w:rPr>
                <w:rFonts w:cs="Arial" w:asciiTheme="minorEastAsia" w:hAnsiTheme="minorEastAsia" w:eastAsiaTheme="minorEastAsia"/>
                <w:sz w:val="24"/>
                <w:szCs w:val="24"/>
                <w:highlight w:val="none"/>
              </w:rPr>
            </w:pPr>
          </w:p>
        </w:tc>
        <w:tc>
          <w:tcPr>
            <w:tcW w:w="1161" w:type="dxa"/>
            <w:tcBorders>
              <w:top w:val="single" w:color="auto" w:sz="6" w:space="0"/>
              <w:left w:val="single" w:color="auto" w:sz="6" w:space="0"/>
              <w:bottom w:val="single" w:color="auto" w:sz="6" w:space="0"/>
              <w:right w:val="single" w:color="auto" w:sz="6" w:space="0"/>
            </w:tcBorders>
            <w:vAlign w:val="center"/>
          </w:tcPr>
          <w:p>
            <w:pPr>
              <w:wordWrap w:val="0"/>
              <w:topLinePunct/>
              <w:spacing w:line="400" w:lineRule="exact"/>
              <w:jc w:val="center"/>
              <w:rPr>
                <w:rFonts w:cs="Arial" w:asciiTheme="minorEastAsia" w:hAnsiTheme="minorEastAsia" w:eastAsiaTheme="minorEastAsia"/>
                <w:sz w:val="24"/>
                <w:szCs w:val="24"/>
                <w:highlight w:val="none"/>
              </w:rPr>
            </w:pPr>
          </w:p>
        </w:tc>
        <w:tc>
          <w:tcPr>
            <w:tcW w:w="1166" w:type="dxa"/>
            <w:tcBorders>
              <w:top w:val="single" w:color="auto" w:sz="6" w:space="0"/>
              <w:left w:val="single" w:color="auto" w:sz="6" w:space="0"/>
              <w:bottom w:val="single" w:color="auto" w:sz="6" w:space="0"/>
              <w:right w:val="single" w:color="auto" w:sz="6" w:space="0"/>
            </w:tcBorders>
          </w:tcPr>
          <w:p>
            <w:pPr>
              <w:wordWrap w:val="0"/>
              <w:topLinePunct/>
              <w:spacing w:line="400" w:lineRule="exact"/>
              <w:jc w:val="center"/>
              <w:rPr>
                <w:rFonts w:cs="Arial" w:asciiTheme="minorEastAsia" w:hAnsiTheme="minorEastAsia" w:eastAsiaTheme="minorEastAsia"/>
                <w:sz w:val="24"/>
                <w:szCs w:val="24"/>
                <w:highlight w:val="none"/>
              </w:rPr>
            </w:pPr>
          </w:p>
        </w:tc>
        <w:tc>
          <w:tcPr>
            <w:tcW w:w="1272" w:type="dxa"/>
            <w:tcBorders>
              <w:top w:val="single" w:color="auto" w:sz="6" w:space="0"/>
              <w:left w:val="single" w:color="auto" w:sz="6" w:space="0"/>
              <w:bottom w:val="single" w:color="auto" w:sz="6" w:space="0"/>
              <w:right w:val="single" w:color="auto" w:sz="6" w:space="0"/>
            </w:tcBorders>
            <w:vAlign w:val="center"/>
          </w:tcPr>
          <w:p>
            <w:pPr>
              <w:wordWrap w:val="0"/>
              <w:topLinePunct/>
              <w:spacing w:line="400" w:lineRule="exact"/>
              <w:jc w:val="center"/>
              <w:rPr>
                <w:rFonts w:cs="Arial" w:asciiTheme="minorEastAsia" w:hAnsiTheme="minorEastAsia" w:eastAsiaTheme="minorEastAsia"/>
                <w:sz w:val="24"/>
                <w:szCs w:val="24"/>
                <w:highlight w:val="none"/>
              </w:rPr>
            </w:pPr>
          </w:p>
        </w:tc>
        <w:tc>
          <w:tcPr>
            <w:tcW w:w="1199" w:type="dxa"/>
            <w:tcBorders>
              <w:top w:val="single" w:color="auto" w:sz="6" w:space="0"/>
              <w:left w:val="single" w:color="auto" w:sz="4" w:space="0"/>
              <w:bottom w:val="single" w:color="auto" w:sz="6" w:space="0"/>
              <w:right w:val="single" w:color="auto" w:sz="4" w:space="0"/>
            </w:tcBorders>
            <w:vAlign w:val="center"/>
          </w:tcPr>
          <w:p>
            <w:pPr>
              <w:wordWrap w:val="0"/>
              <w:topLinePunct/>
              <w:spacing w:line="400" w:lineRule="exact"/>
              <w:jc w:val="center"/>
              <w:rPr>
                <w:rFonts w:cs="Arial" w:asciiTheme="minorEastAsia" w:hAnsiTheme="minorEastAsia" w:eastAsiaTheme="minorEastAsia"/>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gridAfter w:val="1"/>
          <w:wAfter w:w="9" w:type="dxa"/>
          <w:cantSplit/>
          <w:trHeight w:val="600" w:hRule="atLeast"/>
          <w:jc w:val="center"/>
        </w:trPr>
        <w:tc>
          <w:tcPr>
            <w:tcW w:w="720" w:type="dxa"/>
            <w:tcBorders>
              <w:top w:val="single" w:color="auto" w:sz="6" w:space="0"/>
              <w:left w:val="single" w:color="auto" w:sz="4" w:space="0"/>
              <w:bottom w:val="single" w:color="auto" w:sz="6" w:space="0"/>
              <w:right w:val="single" w:color="auto" w:sz="6" w:space="0"/>
            </w:tcBorders>
            <w:vAlign w:val="center"/>
          </w:tcPr>
          <w:p>
            <w:pPr>
              <w:wordWrap w:val="0"/>
              <w:topLinePunct/>
              <w:spacing w:line="400" w:lineRule="exact"/>
              <w:jc w:val="center"/>
              <w:rPr>
                <w:rFonts w:cs="Arial" w:asciiTheme="minorEastAsia" w:hAnsiTheme="minorEastAsia" w:eastAsiaTheme="minorEastAsia"/>
                <w:sz w:val="24"/>
                <w:szCs w:val="24"/>
                <w:highlight w:val="none"/>
              </w:rPr>
            </w:pPr>
          </w:p>
        </w:tc>
        <w:tc>
          <w:tcPr>
            <w:tcW w:w="1440" w:type="dxa"/>
            <w:tcBorders>
              <w:top w:val="single" w:color="auto" w:sz="6" w:space="0"/>
              <w:left w:val="single" w:color="auto" w:sz="6" w:space="0"/>
              <w:bottom w:val="single" w:color="auto" w:sz="6" w:space="0"/>
              <w:right w:val="single" w:color="auto" w:sz="6" w:space="0"/>
            </w:tcBorders>
            <w:vAlign w:val="center"/>
          </w:tcPr>
          <w:p>
            <w:pPr>
              <w:wordWrap w:val="0"/>
              <w:topLinePunct/>
              <w:spacing w:line="400" w:lineRule="exact"/>
              <w:jc w:val="center"/>
              <w:rPr>
                <w:rFonts w:cs="Arial" w:asciiTheme="minorEastAsia" w:hAnsiTheme="minorEastAsia" w:eastAsiaTheme="minorEastAsia"/>
                <w:sz w:val="24"/>
                <w:szCs w:val="24"/>
                <w:highlight w:val="none"/>
              </w:rPr>
            </w:pPr>
          </w:p>
        </w:tc>
        <w:tc>
          <w:tcPr>
            <w:tcW w:w="1320" w:type="dxa"/>
            <w:tcBorders>
              <w:top w:val="single" w:color="auto" w:sz="6" w:space="0"/>
              <w:left w:val="single" w:color="auto" w:sz="6" w:space="0"/>
              <w:bottom w:val="single" w:color="auto" w:sz="6" w:space="0"/>
              <w:right w:val="single" w:color="auto" w:sz="6" w:space="0"/>
            </w:tcBorders>
            <w:vAlign w:val="center"/>
          </w:tcPr>
          <w:p>
            <w:pPr>
              <w:wordWrap w:val="0"/>
              <w:topLinePunct/>
              <w:spacing w:line="400" w:lineRule="exact"/>
              <w:jc w:val="center"/>
              <w:rPr>
                <w:rFonts w:cs="Arial" w:asciiTheme="minorEastAsia" w:hAnsiTheme="minorEastAsia" w:eastAsiaTheme="minorEastAsia"/>
                <w:sz w:val="24"/>
                <w:szCs w:val="24"/>
                <w:highlight w:val="none"/>
              </w:rPr>
            </w:pPr>
          </w:p>
        </w:tc>
        <w:tc>
          <w:tcPr>
            <w:tcW w:w="1161" w:type="dxa"/>
            <w:tcBorders>
              <w:top w:val="single" w:color="auto" w:sz="6" w:space="0"/>
              <w:left w:val="single" w:color="auto" w:sz="6" w:space="0"/>
              <w:bottom w:val="single" w:color="auto" w:sz="6" w:space="0"/>
              <w:right w:val="single" w:color="auto" w:sz="6" w:space="0"/>
            </w:tcBorders>
            <w:vAlign w:val="center"/>
          </w:tcPr>
          <w:p>
            <w:pPr>
              <w:wordWrap w:val="0"/>
              <w:topLinePunct/>
              <w:spacing w:line="400" w:lineRule="exact"/>
              <w:jc w:val="center"/>
              <w:rPr>
                <w:rFonts w:cs="Arial" w:asciiTheme="minorEastAsia" w:hAnsiTheme="minorEastAsia" w:eastAsiaTheme="minorEastAsia"/>
                <w:sz w:val="24"/>
                <w:szCs w:val="24"/>
                <w:highlight w:val="none"/>
              </w:rPr>
            </w:pPr>
          </w:p>
        </w:tc>
        <w:tc>
          <w:tcPr>
            <w:tcW w:w="1166" w:type="dxa"/>
            <w:tcBorders>
              <w:top w:val="single" w:color="auto" w:sz="6" w:space="0"/>
              <w:left w:val="single" w:color="auto" w:sz="6" w:space="0"/>
              <w:bottom w:val="single" w:color="auto" w:sz="6" w:space="0"/>
              <w:right w:val="single" w:color="auto" w:sz="6" w:space="0"/>
            </w:tcBorders>
          </w:tcPr>
          <w:p>
            <w:pPr>
              <w:wordWrap w:val="0"/>
              <w:topLinePunct/>
              <w:spacing w:line="400" w:lineRule="exact"/>
              <w:jc w:val="center"/>
              <w:rPr>
                <w:rFonts w:cs="Arial" w:asciiTheme="minorEastAsia" w:hAnsiTheme="minorEastAsia" w:eastAsiaTheme="minorEastAsia"/>
                <w:sz w:val="24"/>
                <w:szCs w:val="24"/>
                <w:highlight w:val="none"/>
              </w:rPr>
            </w:pPr>
          </w:p>
        </w:tc>
        <w:tc>
          <w:tcPr>
            <w:tcW w:w="1272" w:type="dxa"/>
            <w:tcBorders>
              <w:top w:val="single" w:color="auto" w:sz="6" w:space="0"/>
              <w:left w:val="single" w:color="auto" w:sz="6" w:space="0"/>
              <w:bottom w:val="single" w:color="auto" w:sz="6" w:space="0"/>
              <w:right w:val="single" w:color="auto" w:sz="6" w:space="0"/>
            </w:tcBorders>
            <w:vAlign w:val="center"/>
          </w:tcPr>
          <w:p>
            <w:pPr>
              <w:wordWrap w:val="0"/>
              <w:topLinePunct/>
              <w:spacing w:line="400" w:lineRule="exact"/>
              <w:jc w:val="center"/>
              <w:rPr>
                <w:rFonts w:cs="Arial" w:asciiTheme="minorEastAsia" w:hAnsiTheme="minorEastAsia" w:eastAsiaTheme="minorEastAsia"/>
                <w:sz w:val="24"/>
                <w:szCs w:val="24"/>
                <w:highlight w:val="none"/>
              </w:rPr>
            </w:pPr>
          </w:p>
        </w:tc>
        <w:tc>
          <w:tcPr>
            <w:tcW w:w="1199" w:type="dxa"/>
            <w:tcBorders>
              <w:top w:val="single" w:color="auto" w:sz="6" w:space="0"/>
              <w:left w:val="single" w:color="auto" w:sz="4" w:space="0"/>
              <w:bottom w:val="single" w:color="auto" w:sz="6" w:space="0"/>
              <w:right w:val="single" w:color="auto" w:sz="4" w:space="0"/>
            </w:tcBorders>
            <w:vAlign w:val="center"/>
          </w:tcPr>
          <w:p>
            <w:pPr>
              <w:wordWrap w:val="0"/>
              <w:topLinePunct/>
              <w:spacing w:line="400" w:lineRule="exact"/>
              <w:jc w:val="center"/>
              <w:rPr>
                <w:rFonts w:cs="Arial" w:asciiTheme="minorEastAsia" w:hAnsiTheme="minorEastAsia" w:eastAsiaTheme="minorEastAsia"/>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gridAfter w:val="1"/>
          <w:wAfter w:w="9" w:type="dxa"/>
          <w:cantSplit/>
          <w:trHeight w:val="600" w:hRule="atLeast"/>
          <w:jc w:val="center"/>
        </w:trPr>
        <w:tc>
          <w:tcPr>
            <w:tcW w:w="720" w:type="dxa"/>
            <w:tcBorders>
              <w:top w:val="single" w:color="auto" w:sz="6" w:space="0"/>
              <w:left w:val="single" w:color="auto" w:sz="4" w:space="0"/>
              <w:bottom w:val="single" w:color="auto" w:sz="6" w:space="0"/>
              <w:right w:val="single" w:color="auto" w:sz="6" w:space="0"/>
            </w:tcBorders>
            <w:vAlign w:val="center"/>
          </w:tcPr>
          <w:p>
            <w:pPr>
              <w:wordWrap w:val="0"/>
              <w:topLinePunct/>
              <w:spacing w:line="400" w:lineRule="exact"/>
              <w:jc w:val="center"/>
              <w:rPr>
                <w:rFonts w:cs="Arial" w:asciiTheme="minorEastAsia" w:hAnsiTheme="minorEastAsia" w:eastAsiaTheme="minorEastAsia"/>
                <w:sz w:val="24"/>
                <w:szCs w:val="24"/>
                <w:highlight w:val="none"/>
              </w:rPr>
            </w:pPr>
          </w:p>
        </w:tc>
        <w:tc>
          <w:tcPr>
            <w:tcW w:w="1440" w:type="dxa"/>
            <w:tcBorders>
              <w:top w:val="single" w:color="auto" w:sz="6" w:space="0"/>
              <w:left w:val="single" w:color="auto" w:sz="6" w:space="0"/>
              <w:bottom w:val="single" w:color="auto" w:sz="6" w:space="0"/>
              <w:right w:val="single" w:color="auto" w:sz="6" w:space="0"/>
            </w:tcBorders>
            <w:vAlign w:val="center"/>
          </w:tcPr>
          <w:p>
            <w:pPr>
              <w:wordWrap w:val="0"/>
              <w:topLinePunct/>
              <w:spacing w:line="400" w:lineRule="exact"/>
              <w:jc w:val="center"/>
              <w:rPr>
                <w:rFonts w:cs="Arial" w:asciiTheme="minorEastAsia" w:hAnsiTheme="minorEastAsia" w:eastAsiaTheme="minorEastAsia"/>
                <w:sz w:val="24"/>
                <w:szCs w:val="24"/>
                <w:highlight w:val="none"/>
              </w:rPr>
            </w:pPr>
          </w:p>
        </w:tc>
        <w:tc>
          <w:tcPr>
            <w:tcW w:w="1320" w:type="dxa"/>
            <w:tcBorders>
              <w:top w:val="single" w:color="auto" w:sz="6" w:space="0"/>
              <w:left w:val="single" w:color="auto" w:sz="6" w:space="0"/>
              <w:bottom w:val="single" w:color="auto" w:sz="6" w:space="0"/>
              <w:right w:val="single" w:color="auto" w:sz="6" w:space="0"/>
            </w:tcBorders>
            <w:vAlign w:val="center"/>
          </w:tcPr>
          <w:p>
            <w:pPr>
              <w:wordWrap w:val="0"/>
              <w:topLinePunct/>
              <w:spacing w:line="400" w:lineRule="exact"/>
              <w:jc w:val="center"/>
              <w:rPr>
                <w:rFonts w:cs="Arial" w:asciiTheme="minorEastAsia" w:hAnsiTheme="minorEastAsia" w:eastAsiaTheme="minorEastAsia"/>
                <w:sz w:val="24"/>
                <w:szCs w:val="24"/>
                <w:highlight w:val="none"/>
              </w:rPr>
            </w:pPr>
          </w:p>
        </w:tc>
        <w:tc>
          <w:tcPr>
            <w:tcW w:w="1161" w:type="dxa"/>
            <w:tcBorders>
              <w:top w:val="single" w:color="auto" w:sz="6" w:space="0"/>
              <w:left w:val="single" w:color="auto" w:sz="6" w:space="0"/>
              <w:bottom w:val="single" w:color="auto" w:sz="6" w:space="0"/>
              <w:right w:val="single" w:color="auto" w:sz="6" w:space="0"/>
            </w:tcBorders>
            <w:vAlign w:val="center"/>
          </w:tcPr>
          <w:p>
            <w:pPr>
              <w:wordWrap w:val="0"/>
              <w:topLinePunct/>
              <w:spacing w:line="400" w:lineRule="exact"/>
              <w:jc w:val="center"/>
              <w:rPr>
                <w:rFonts w:cs="Arial" w:asciiTheme="minorEastAsia" w:hAnsiTheme="minorEastAsia" w:eastAsiaTheme="minorEastAsia"/>
                <w:sz w:val="24"/>
                <w:szCs w:val="24"/>
                <w:highlight w:val="none"/>
              </w:rPr>
            </w:pPr>
          </w:p>
        </w:tc>
        <w:tc>
          <w:tcPr>
            <w:tcW w:w="1166" w:type="dxa"/>
            <w:tcBorders>
              <w:top w:val="single" w:color="auto" w:sz="6" w:space="0"/>
              <w:left w:val="single" w:color="auto" w:sz="6" w:space="0"/>
              <w:bottom w:val="single" w:color="auto" w:sz="6" w:space="0"/>
              <w:right w:val="single" w:color="auto" w:sz="6" w:space="0"/>
            </w:tcBorders>
          </w:tcPr>
          <w:p>
            <w:pPr>
              <w:wordWrap w:val="0"/>
              <w:topLinePunct/>
              <w:spacing w:line="400" w:lineRule="exact"/>
              <w:jc w:val="center"/>
              <w:rPr>
                <w:rFonts w:cs="Arial" w:asciiTheme="minorEastAsia" w:hAnsiTheme="minorEastAsia" w:eastAsiaTheme="minorEastAsia"/>
                <w:sz w:val="24"/>
                <w:szCs w:val="24"/>
                <w:highlight w:val="none"/>
              </w:rPr>
            </w:pPr>
          </w:p>
        </w:tc>
        <w:tc>
          <w:tcPr>
            <w:tcW w:w="1272" w:type="dxa"/>
            <w:tcBorders>
              <w:top w:val="single" w:color="auto" w:sz="6" w:space="0"/>
              <w:left w:val="single" w:color="auto" w:sz="6" w:space="0"/>
              <w:bottom w:val="single" w:color="auto" w:sz="6" w:space="0"/>
              <w:right w:val="single" w:color="auto" w:sz="6" w:space="0"/>
            </w:tcBorders>
            <w:vAlign w:val="center"/>
          </w:tcPr>
          <w:p>
            <w:pPr>
              <w:wordWrap w:val="0"/>
              <w:topLinePunct/>
              <w:spacing w:line="400" w:lineRule="exact"/>
              <w:jc w:val="center"/>
              <w:rPr>
                <w:rFonts w:cs="Arial" w:asciiTheme="minorEastAsia" w:hAnsiTheme="minorEastAsia" w:eastAsiaTheme="minorEastAsia"/>
                <w:sz w:val="24"/>
                <w:szCs w:val="24"/>
                <w:highlight w:val="none"/>
              </w:rPr>
            </w:pPr>
          </w:p>
        </w:tc>
        <w:tc>
          <w:tcPr>
            <w:tcW w:w="1199" w:type="dxa"/>
            <w:tcBorders>
              <w:top w:val="single" w:color="auto" w:sz="6" w:space="0"/>
              <w:left w:val="single" w:color="auto" w:sz="4" w:space="0"/>
              <w:bottom w:val="single" w:color="auto" w:sz="6" w:space="0"/>
              <w:right w:val="single" w:color="auto" w:sz="4" w:space="0"/>
            </w:tcBorders>
            <w:vAlign w:val="center"/>
          </w:tcPr>
          <w:p>
            <w:pPr>
              <w:wordWrap w:val="0"/>
              <w:topLinePunct/>
              <w:spacing w:line="400" w:lineRule="exact"/>
              <w:jc w:val="center"/>
              <w:rPr>
                <w:rFonts w:cs="Arial" w:asciiTheme="minorEastAsia" w:hAnsiTheme="minorEastAsia" w:eastAsiaTheme="minorEastAsia"/>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gridAfter w:val="1"/>
          <w:wAfter w:w="9" w:type="dxa"/>
          <w:cantSplit/>
          <w:trHeight w:val="600" w:hRule="atLeast"/>
          <w:jc w:val="center"/>
        </w:trPr>
        <w:tc>
          <w:tcPr>
            <w:tcW w:w="720" w:type="dxa"/>
            <w:tcBorders>
              <w:top w:val="single" w:color="auto" w:sz="6" w:space="0"/>
              <w:left w:val="single" w:color="auto" w:sz="4" w:space="0"/>
              <w:bottom w:val="single" w:color="auto" w:sz="6" w:space="0"/>
              <w:right w:val="single" w:color="auto" w:sz="6" w:space="0"/>
            </w:tcBorders>
            <w:vAlign w:val="center"/>
          </w:tcPr>
          <w:p>
            <w:pPr>
              <w:wordWrap w:val="0"/>
              <w:topLinePunct/>
              <w:spacing w:line="400" w:lineRule="exact"/>
              <w:jc w:val="center"/>
              <w:rPr>
                <w:rFonts w:cs="Arial" w:asciiTheme="minorEastAsia" w:hAnsiTheme="minorEastAsia" w:eastAsiaTheme="minorEastAsia"/>
                <w:sz w:val="24"/>
                <w:szCs w:val="24"/>
                <w:highlight w:val="none"/>
              </w:rPr>
            </w:pPr>
          </w:p>
        </w:tc>
        <w:tc>
          <w:tcPr>
            <w:tcW w:w="1440" w:type="dxa"/>
            <w:tcBorders>
              <w:top w:val="single" w:color="auto" w:sz="6" w:space="0"/>
              <w:left w:val="single" w:color="auto" w:sz="6" w:space="0"/>
              <w:bottom w:val="single" w:color="auto" w:sz="6" w:space="0"/>
              <w:right w:val="single" w:color="auto" w:sz="4" w:space="0"/>
            </w:tcBorders>
            <w:vAlign w:val="center"/>
          </w:tcPr>
          <w:p>
            <w:pPr>
              <w:wordWrap w:val="0"/>
              <w:topLinePunct/>
              <w:spacing w:line="400" w:lineRule="exact"/>
              <w:jc w:val="center"/>
              <w:rPr>
                <w:rFonts w:cs="Arial" w:asciiTheme="minorEastAsia" w:hAnsiTheme="minorEastAsia" w:eastAsiaTheme="minorEastAsia"/>
                <w:sz w:val="24"/>
                <w:szCs w:val="24"/>
                <w:highlight w:val="none"/>
              </w:rPr>
            </w:pPr>
          </w:p>
        </w:tc>
        <w:tc>
          <w:tcPr>
            <w:tcW w:w="1320" w:type="dxa"/>
            <w:tcBorders>
              <w:top w:val="single" w:color="auto" w:sz="6" w:space="0"/>
              <w:left w:val="single" w:color="auto" w:sz="4" w:space="0"/>
              <w:bottom w:val="single" w:color="auto" w:sz="6" w:space="0"/>
              <w:right w:val="single" w:color="auto" w:sz="6" w:space="0"/>
            </w:tcBorders>
            <w:vAlign w:val="center"/>
          </w:tcPr>
          <w:p>
            <w:pPr>
              <w:wordWrap w:val="0"/>
              <w:topLinePunct/>
              <w:spacing w:line="400" w:lineRule="exact"/>
              <w:jc w:val="center"/>
              <w:rPr>
                <w:rFonts w:cs="Arial" w:asciiTheme="minorEastAsia" w:hAnsiTheme="minorEastAsia" w:eastAsiaTheme="minorEastAsia"/>
                <w:sz w:val="24"/>
                <w:szCs w:val="24"/>
                <w:highlight w:val="none"/>
              </w:rPr>
            </w:pPr>
          </w:p>
        </w:tc>
        <w:tc>
          <w:tcPr>
            <w:tcW w:w="1161" w:type="dxa"/>
            <w:tcBorders>
              <w:top w:val="single" w:color="auto" w:sz="6" w:space="0"/>
              <w:left w:val="single" w:color="auto" w:sz="6" w:space="0"/>
              <w:bottom w:val="single" w:color="auto" w:sz="6" w:space="0"/>
              <w:right w:val="single" w:color="auto" w:sz="6" w:space="0"/>
            </w:tcBorders>
            <w:vAlign w:val="center"/>
          </w:tcPr>
          <w:p>
            <w:pPr>
              <w:wordWrap w:val="0"/>
              <w:topLinePunct/>
              <w:spacing w:line="400" w:lineRule="exact"/>
              <w:jc w:val="center"/>
              <w:rPr>
                <w:rFonts w:cs="Arial" w:asciiTheme="minorEastAsia" w:hAnsiTheme="minorEastAsia" w:eastAsiaTheme="minorEastAsia"/>
                <w:sz w:val="24"/>
                <w:szCs w:val="24"/>
                <w:highlight w:val="none"/>
              </w:rPr>
            </w:pPr>
          </w:p>
        </w:tc>
        <w:tc>
          <w:tcPr>
            <w:tcW w:w="1166" w:type="dxa"/>
            <w:tcBorders>
              <w:top w:val="single" w:color="auto" w:sz="6" w:space="0"/>
              <w:left w:val="single" w:color="auto" w:sz="6" w:space="0"/>
              <w:bottom w:val="single" w:color="auto" w:sz="6" w:space="0"/>
              <w:right w:val="single" w:color="auto" w:sz="6" w:space="0"/>
            </w:tcBorders>
          </w:tcPr>
          <w:p>
            <w:pPr>
              <w:wordWrap w:val="0"/>
              <w:topLinePunct/>
              <w:spacing w:line="400" w:lineRule="exact"/>
              <w:jc w:val="center"/>
              <w:rPr>
                <w:rFonts w:cs="Arial" w:asciiTheme="minorEastAsia" w:hAnsiTheme="minorEastAsia" w:eastAsiaTheme="minorEastAsia"/>
                <w:sz w:val="24"/>
                <w:szCs w:val="24"/>
                <w:highlight w:val="none"/>
              </w:rPr>
            </w:pPr>
          </w:p>
        </w:tc>
        <w:tc>
          <w:tcPr>
            <w:tcW w:w="1272" w:type="dxa"/>
            <w:tcBorders>
              <w:top w:val="single" w:color="auto" w:sz="6" w:space="0"/>
              <w:left w:val="single" w:color="auto" w:sz="6" w:space="0"/>
              <w:bottom w:val="single" w:color="auto" w:sz="6" w:space="0"/>
              <w:right w:val="single" w:color="auto" w:sz="6" w:space="0"/>
            </w:tcBorders>
            <w:vAlign w:val="center"/>
          </w:tcPr>
          <w:p>
            <w:pPr>
              <w:wordWrap w:val="0"/>
              <w:topLinePunct/>
              <w:spacing w:line="400" w:lineRule="exact"/>
              <w:jc w:val="center"/>
              <w:rPr>
                <w:rFonts w:cs="Arial" w:asciiTheme="minorEastAsia" w:hAnsiTheme="minorEastAsia" w:eastAsiaTheme="minorEastAsia"/>
                <w:sz w:val="24"/>
                <w:szCs w:val="24"/>
                <w:highlight w:val="none"/>
              </w:rPr>
            </w:pPr>
          </w:p>
        </w:tc>
        <w:tc>
          <w:tcPr>
            <w:tcW w:w="1199" w:type="dxa"/>
            <w:tcBorders>
              <w:top w:val="single" w:color="auto" w:sz="6" w:space="0"/>
              <w:left w:val="single" w:color="auto" w:sz="4" w:space="0"/>
              <w:bottom w:val="single" w:color="auto" w:sz="6" w:space="0"/>
              <w:right w:val="single" w:color="auto" w:sz="4" w:space="0"/>
            </w:tcBorders>
            <w:vAlign w:val="center"/>
          </w:tcPr>
          <w:p>
            <w:pPr>
              <w:wordWrap w:val="0"/>
              <w:topLinePunct/>
              <w:spacing w:line="400" w:lineRule="exact"/>
              <w:jc w:val="center"/>
              <w:rPr>
                <w:rFonts w:cs="Arial" w:asciiTheme="minorEastAsia" w:hAnsiTheme="minorEastAsia" w:eastAsiaTheme="minorEastAsia"/>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gridAfter w:val="1"/>
          <w:wAfter w:w="9" w:type="dxa"/>
          <w:cantSplit/>
          <w:trHeight w:val="600" w:hRule="atLeast"/>
          <w:jc w:val="center"/>
        </w:trPr>
        <w:tc>
          <w:tcPr>
            <w:tcW w:w="720" w:type="dxa"/>
            <w:tcBorders>
              <w:top w:val="single" w:color="auto" w:sz="6" w:space="0"/>
              <w:left w:val="single" w:color="auto" w:sz="4" w:space="0"/>
              <w:bottom w:val="single" w:color="auto" w:sz="6" w:space="0"/>
              <w:right w:val="single" w:color="auto" w:sz="4" w:space="0"/>
            </w:tcBorders>
            <w:vAlign w:val="center"/>
          </w:tcPr>
          <w:p>
            <w:pPr>
              <w:wordWrap w:val="0"/>
              <w:topLinePunct/>
              <w:spacing w:line="400" w:lineRule="exact"/>
              <w:rPr>
                <w:rFonts w:cs="Arial" w:asciiTheme="minorEastAsia" w:hAnsiTheme="minorEastAsia" w:eastAsiaTheme="minorEastAsia"/>
                <w:sz w:val="24"/>
                <w:szCs w:val="24"/>
                <w:highlight w:val="none"/>
              </w:rPr>
            </w:pPr>
          </w:p>
        </w:tc>
        <w:tc>
          <w:tcPr>
            <w:tcW w:w="1440" w:type="dxa"/>
            <w:tcBorders>
              <w:top w:val="single" w:color="auto" w:sz="6" w:space="0"/>
              <w:left w:val="single" w:color="auto" w:sz="4" w:space="0"/>
              <w:bottom w:val="single" w:color="auto" w:sz="6" w:space="0"/>
              <w:right w:val="single" w:color="auto" w:sz="4" w:space="0"/>
            </w:tcBorders>
            <w:vAlign w:val="center"/>
          </w:tcPr>
          <w:p>
            <w:pPr>
              <w:wordWrap w:val="0"/>
              <w:topLinePunct/>
              <w:spacing w:line="400" w:lineRule="exact"/>
              <w:rPr>
                <w:rFonts w:cs="Arial" w:asciiTheme="minorEastAsia" w:hAnsiTheme="minorEastAsia" w:eastAsiaTheme="minorEastAsia"/>
                <w:sz w:val="24"/>
                <w:szCs w:val="24"/>
                <w:highlight w:val="none"/>
              </w:rPr>
            </w:pPr>
          </w:p>
        </w:tc>
        <w:tc>
          <w:tcPr>
            <w:tcW w:w="1320" w:type="dxa"/>
            <w:tcBorders>
              <w:top w:val="single" w:color="auto" w:sz="6" w:space="0"/>
              <w:left w:val="single" w:color="auto" w:sz="4" w:space="0"/>
              <w:bottom w:val="single" w:color="auto" w:sz="6" w:space="0"/>
              <w:right w:val="single" w:color="auto" w:sz="4" w:space="0"/>
            </w:tcBorders>
            <w:vAlign w:val="center"/>
          </w:tcPr>
          <w:p>
            <w:pPr>
              <w:wordWrap w:val="0"/>
              <w:topLinePunct/>
              <w:spacing w:line="400" w:lineRule="exact"/>
              <w:rPr>
                <w:rFonts w:cs="Arial" w:asciiTheme="minorEastAsia" w:hAnsiTheme="minorEastAsia" w:eastAsiaTheme="minorEastAsia"/>
                <w:sz w:val="24"/>
                <w:szCs w:val="24"/>
                <w:highlight w:val="none"/>
              </w:rPr>
            </w:pPr>
          </w:p>
        </w:tc>
        <w:tc>
          <w:tcPr>
            <w:tcW w:w="1161" w:type="dxa"/>
            <w:tcBorders>
              <w:top w:val="single" w:color="auto" w:sz="6" w:space="0"/>
              <w:left w:val="single" w:color="auto" w:sz="4" w:space="0"/>
              <w:bottom w:val="single" w:color="auto" w:sz="6" w:space="0"/>
              <w:right w:val="single" w:color="auto" w:sz="4" w:space="0"/>
            </w:tcBorders>
            <w:vAlign w:val="center"/>
          </w:tcPr>
          <w:p>
            <w:pPr>
              <w:wordWrap w:val="0"/>
              <w:topLinePunct/>
              <w:spacing w:line="400" w:lineRule="exact"/>
              <w:rPr>
                <w:rFonts w:cs="Arial" w:asciiTheme="minorEastAsia" w:hAnsiTheme="minorEastAsia" w:eastAsiaTheme="minorEastAsia"/>
                <w:sz w:val="24"/>
                <w:szCs w:val="24"/>
                <w:highlight w:val="none"/>
              </w:rPr>
            </w:pPr>
          </w:p>
        </w:tc>
        <w:tc>
          <w:tcPr>
            <w:tcW w:w="1166" w:type="dxa"/>
            <w:tcBorders>
              <w:top w:val="single" w:color="auto" w:sz="6" w:space="0"/>
              <w:left w:val="single" w:color="auto" w:sz="4" w:space="0"/>
              <w:bottom w:val="single" w:color="auto" w:sz="6" w:space="0"/>
              <w:right w:val="single" w:color="auto" w:sz="4" w:space="0"/>
            </w:tcBorders>
          </w:tcPr>
          <w:p>
            <w:pPr>
              <w:wordWrap w:val="0"/>
              <w:topLinePunct/>
              <w:spacing w:line="400" w:lineRule="exact"/>
              <w:rPr>
                <w:rFonts w:cs="Arial" w:asciiTheme="minorEastAsia" w:hAnsiTheme="minorEastAsia" w:eastAsiaTheme="minorEastAsia"/>
                <w:sz w:val="24"/>
                <w:szCs w:val="24"/>
                <w:highlight w:val="none"/>
              </w:rPr>
            </w:pPr>
          </w:p>
        </w:tc>
        <w:tc>
          <w:tcPr>
            <w:tcW w:w="1272" w:type="dxa"/>
            <w:tcBorders>
              <w:top w:val="single" w:color="auto" w:sz="6" w:space="0"/>
              <w:left w:val="single" w:color="auto" w:sz="4" w:space="0"/>
              <w:bottom w:val="single" w:color="auto" w:sz="6" w:space="0"/>
              <w:right w:val="single" w:color="auto" w:sz="4" w:space="0"/>
            </w:tcBorders>
            <w:vAlign w:val="center"/>
          </w:tcPr>
          <w:p>
            <w:pPr>
              <w:wordWrap w:val="0"/>
              <w:topLinePunct/>
              <w:spacing w:line="400" w:lineRule="exact"/>
              <w:rPr>
                <w:rFonts w:cs="Arial" w:asciiTheme="minorEastAsia" w:hAnsiTheme="minorEastAsia" w:eastAsiaTheme="minorEastAsia"/>
                <w:sz w:val="24"/>
                <w:szCs w:val="24"/>
                <w:highlight w:val="none"/>
              </w:rPr>
            </w:pPr>
          </w:p>
        </w:tc>
        <w:tc>
          <w:tcPr>
            <w:tcW w:w="1199" w:type="dxa"/>
            <w:tcBorders>
              <w:top w:val="single" w:color="auto" w:sz="6" w:space="0"/>
              <w:left w:val="single" w:color="auto" w:sz="4" w:space="0"/>
              <w:bottom w:val="single" w:color="auto" w:sz="6" w:space="0"/>
              <w:right w:val="single" w:color="auto" w:sz="4" w:space="0"/>
            </w:tcBorders>
            <w:vAlign w:val="center"/>
          </w:tcPr>
          <w:p>
            <w:pPr>
              <w:wordWrap w:val="0"/>
              <w:topLinePunct/>
              <w:spacing w:line="400" w:lineRule="exact"/>
              <w:rPr>
                <w:rFonts w:cs="Arial" w:asciiTheme="minorEastAsia" w:hAnsiTheme="minorEastAsia" w:eastAsiaTheme="minorEastAsia"/>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20" w:type="dxa"/>
            <w:tcBorders>
              <w:top w:val="single" w:color="auto" w:sz="6" w:space="0"/>
              <w:left w:val="single" w:color="auto" w:sz="4" w:space="0"/>
              <w:bottom w:val="single" w:color="auto" w:sz="6" w:space="0"/>
              <w:right w:val="single" w:color="auto" w:sz="6" w:space="0"/>
            </w:tcBorders>
            <w:vAlign w:val="center"/>
          </w:tcPr>
          <w:p>
            <w:pPr>
              <w:wordWrap w:val="0"/>
              <w:topLinePunct/>
              <w:spacing w:line="400" w:lineRule="exact"/>
              <w:rPr>
                <w:rFonts w:cs="Arial" w:asciiTheme="minorEastAsia" w:hAnsiTheme="minorEastAsia" w:eastAsiaTheme="minorEastAsia"/>
                <w:sz w:val="24"/>
                <w:szCs w:val="24"/>
                <w:highlight w:val="none"/>
              </w:rPr>
            </w:pPr>
          </w:p>
        </w:tc>
        <w:tc>
          <w:tcPr>
            <w:tcW w:w="1440" w:type="dxa"/>
            <w:tcBorders>
              <w:top w:val="single" w:color="auto" w:sz="6" w:space="0"/>
              <w:left w:val="single" w:color="auto" w:sz="6" w:space="0"/>
              <w:bottom w:val="single" w:color="auto" w:sz="6" w:space="0"/>
              <w:right w:val="single" w:color="auto" w:sz="6" w:space="0"/>
            </w:tcBorders>
            <w:vAlign w:val="center"/>
          </w:tcPr>
          <w:p>
            <w:pPr>
              <w:wordWrap w:val="0"/>
              <w:topLinePunct/>
              <w:spacing w:line="400" w:lineRule="exact"/>
              <w:rPr>
                <w:rFonts w:cs="Arial" w:asciiTheme="minorEastAsia" w:hAnsiTheme="minorEastAsia" w:eastAsiaTheme="minorEastAsia"/>
                <w:sz w:val="24"/>
                <w:szCs w:val="24"/>
                <w:highlight w:val="none"/>
              </w:rPr>
            </w:pPr>
          </w:p>
        </w:tc>
        <w:tc>
          <w:tcPr>
            <w:tcW w:w="1320" w:type="dxa"/>
            <w:tcBorders>
              <w:top w:val="single" w:color="auto" w:sz="6" w:space="0"/>
              <w:left w:val="single" w:color="auto" w:sz="6" w:space="0"/>
              <w:bottom w:val="single" w:color="auto" w:sz="6" w:space="0"/>
              <w:right w:val="single" w:color="auto" w:sz="6" w:space="0"/>
            </w:tcBorders>
            <w:vAlign w:val="center"/>
          </w:tcPr>
          <w:p>
            <w:pPr>
              <w:wordWrap w:val="0"/>
              <w:topLinePunct/>
              <w:spacing w:line="400" w:lineRule="exact"/>
              <w:rPr>
                <w:rFonts w:cs="Arial" w:asciiTheme="minorEastAsia" w:hAnsiTheme="minorEastAsia" w:eastAsiaTheme="minorEastAsia"/>
                <w:sz w:val="24"/>
                <w:szCs w:val="24"/>
                <w:highlight w:val="none"/>
              </w:rPr>
            </w:pPr>
          </w:p>
        </w:tc>
        <w:tc>
          <w:tcPr>
            <w:tcW w:w="1161" w:type="dxa"/>
            <w:tcBorders>
              <w:top w:val="single" w:color="auto" w:sz="6" w:space="0"/>
              <w:left w:val="single" w:color="auto" w:sz="6" w:space="0"/>
              <w:bottom w:val="single" w:color="auto" w:sz="6" w:space="0"/>
              <w:right w:val="single" w:color="auto" w:sz="6" w:space="0"/>
            </w:tcBorders>
            <w:vAlign w:val="center"/>
          </w:tcPr>
          <w:p>
            <w:pPr>
              <w:wordWrap w:val="0"/>
              <w:topLinePunct/>
              <w:spacing w:line="400" w:lineRule="exact"/>
              <w:rPr>
                <w:rFonts w:cs="Arial" w:asciiTheme="minorEastAsia" w:hAnsiTheme="minorEastAsia" w:eastAsiaTheme="minorEastAsia"/>
                <w:sz w:val="24"/>
                <w:szCs w:val="24"/>
                <w:highlight w:val="none"/>
              </w:rPr>
            </w:pPr>
          </w:p>
        </w:tc>
        <w:tc>
          <w:tcPr>
            <w:tcW w:w="1166" w:type="dxa"/>
            <w:tcBorders>
              <w:top w:val="single" w:color="auto" w:sz="6" w:space="0"/>
              <w:left w:val="single" w:color="auto" w:sz="6" w:space="0"/>
              <w:bottom w:val="single" w:color="auto" w:sz="6" w:space="0"/>
              <w:right w:val="single" w:color="auto" w:sz="6" w:space="0"/>
            </w:tcBorders>
          </w:tcPr>
          <w:p>
            <w:pPr>
              <w:wordWrap w:val="0"/>
              <w:topLinePunct/>
              <w:spacing w:line="400" w:lineRule="exact"/>
              <w:rPr>
                <w:rFonts w:cs="Arial" w:asciiTheme="minorEastAsia" w:hAnsiTheme="minorEastAsia" w:eastAsiaTheme="minorEastAsia"/>
                <w:sz w:val="24"/>
                <w:szCs w:val="24"/>
                <w:highlight w:val="none"/>
              </w:rPr>
            </w:pPr>
          </w:p>
        </w:tc>
        <w:tc>
          <w:tcPr>
            <w:tcW w:w="1272" w:type="dxa"/>
            <w:tcBorders>
              <w:top w:val="single" w:color="auto" w:sz="6" w:space="0"/>
              <w:left w:val="single" w:color="auto" w:sz="6" w:space="0"/>
              <w:bottom w:val="single" w:color="auto" w:sz="6" w:space="0"/>
              <w:right w:val="single" w:color="auto" w:sz="4" w:space="0"/>
            </w:tcBorders>
            <w:vAlign w:val="center"/>
          </w:tcPr>
          <w:p>
            <w:pPr>
              <w:wordWrap w:val="0"/>
              <w:topLinePunct/>
              <w:spacing w:line="400" w:lineRule="exact"/>
              <w:rPr>
                <w:rFonts w:cs="Arial" w:asciiTheme="minorEastAsia" w:hAnsiTheme="minorEastAsia" w:eastAsiaTheme="minorEastAsia"/>
                <w:sz w:val="24"/>
                <w:szCs w:val="24"/>
                <w:highlight w:val="none"/>
              </w:rPr>
            </w:pPr>
          </w:p>
        </w:tc>
        <w:tc>
          <w:tcPr>
            <w:tcW w:w="1208" w:type="dxa"/>
            <w:gridSpan w:val="2"/>
            <w:tcBorders>
              <w:top w:val="single" w:color="auto" w:sz="6" w:space="0"/>
              <w:left w:val="single" w:color="auto" w:sz="4" w:space="0"/>
              <w:bottom w:val="single" w:color="auto" w:sz="6" w:space="0"/>
              <w:right w:val="single" w:color="auto" w:sz="4" w:space="0"/>
            </w:tcBorders>
            <w:vAlign w:val="center"/>
          </w:tcPr>
          <w:p>
            <w:pPr>
              <w:wordWrap w:val="0"/>
              <w:topLinePunct/>
              <w:spacing w:line="400" w:lineRule="exact"/>
              <w:rPr>
                <w:rFonts w:cs="Arial" w:asciiTheme="minorEastAsia" w:hAnsiTheme="minorEastAsia" w:eastAsiaTheme="minorEastAsia"/>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20" w:type="dxa"/>
            <w:tcBorders>
              <w:top w:val="single" w:color="auto" w:sz="6" w:space="0"/>
              <w:left w:val="single" w:color="auto" w:sz="4" w:space="0"/>
              <w:bottom w:val="single" w:color="auto" w:sz="6" w:space="0"/>
              <w:right w:val="single" w:color="auto" w:sz="6" w:space="0"/>
            </w:tcBorders>
            <w:vAlign w:val="center"/>
          </w:tcPr>
          <w:p>
            <w:pPr>
              <w:wordWrap w:val="0"/>
              <w:topLinePunct/>
              <w:spacing w:line="400" w:lineRule="exact"/>
              <w:jc w:val="center"/>
              <w:rPr>
                <w:rFonts w:cs="Arial" w:asciiTheme="minorEastAsia" w:hAnsiTheme="minorEastAsia" w:eastAsiaTheme="minorEastAsia"/>
                <w:sz w:val="24"/>
                <w:szCs w:val="24"/>
                <w:highlight w:val="none"/>
              </w:rPr>
            </w:pPr>
          </w:p>
        </w:tc>
        <w:tc>
          <w:tcPr>
            <w:tcW w:w="1440" w:type="dxa"/>
            <w:tcBorders>
              <w:top w:val="single" w:color="auto" w:sz="6" w:space="0"/>
              <w:left w:val="single" w:color="auto" w:sz="6" w:space="0"/>
              <w:bottom w:val="single" w:color="auto" w:sz="6" w:space="0"/>
              <w:right w:val="single" w:color="auto" w:sz="6" w:space="0"/>
            </w:tcBorders>
            <w:vAlign w:val="center"/>
          </w:tcPr>
          <w:p>
            <w:pPr>
              <w:wordWrap w:val="0"/>
              <w:topLinePunct/>
              <w:spacing w:line="400" w:lineRule="exact"/>
              <w:jc w:val="center"/>
              <w:rPr>
                <w:rFonts w:cs="Arial" w:asciiTheme="minorEastAsia" w:hAnsiTheme="minorEastAsia" w:eastAsiaTheme="minorEastAsia"/>
                <w:sz w:val="24"/>
                <w:szCs w:val="24"/>
                <w:highlight w:val="none"/>
              </w:rPr>
            </w:pPr>
          </w:p>
        </w:tc>
        <w:tc>
          <w:tcPr>
            <w:tcW w:w="1320" w:type="dxa"/>
            <w:tcBorders>
              <w:top w:val="single" w:color="auto" w:sz="6" w:space="0"/>
              <w:left w:val="single" w:color="auto" w:sz="6" w:space="0"/>
              <w:bottom w:val="single" w:color="auto" w:sz="6" w:space="0"/>
              <w:right w:val="single" w:color="auto" w:sz="6" w:space="0"/>
            </w:tcBorders>
            <w:vAlign w:val="center"/>
          </w:tcPr>
          <w:p>
            <w:pPr>
              <w:wordWrap w:val="0"/>
              <w:topLinePunct/>
              <w:spacing w:line="400" w:lineRule="exact"/>
              <w:jc w:val="center"/>
              <w:rPr>
                <w:rFonts w:cs="Arial" w:asciiTheme="minorEastAsia" w:hAnsiTheme="minorEastAsia" w:eastAsiaTheme="minorEastAsia"/>
                <w:sz w:val="24"/>
                <w:szCs w:val="24"/>
                <w:highlight w:val="none"/>
              </w:rPr>
            </w:pPr>
          </w:p>
        </w:tc>
        <w:tc>
          <w:tcPr>
            <w:tcW w:w="1161" w:type="dxa"/>
            <w:tcBorders>
              <w:top w:val="single" w:color="auto" w:sz="6" w:space="0"/>
              <w:left w:val="single" w:color="auto" w:sz="6" w:space="0"/>
              <w:bottom w:val="single" w:color="auto" w:sz="6" w:space="0"/>
              <w:right w:val="single" w:color="auto" w:sz="6" w:space="0"/>
            </w:tcBorders>
            <w:vAlign w:val="center"/>
          </w:tcPr>
          <w:p>
            <w:pPr>
              <w:wordWrap w:val="0"/>
              <w:topLinePunct/>
              <w:spacing w:line="400" w:lineRule="exact"/>
              <w:jc w:val="center"/>
              <w:rPr>
                <w:rFonts w:cs="Arial" w:asciiTheme="minorEastAsia" w:hAnsiTheme="minorEastAsia" w:eastAsiaTheme="minorEastAsia"/>
                <w:sz w:val="24"/>
                <w:szCs w:val="24"/>
                <w:highlight w:val="none"/>
              </w:rPr>
            </w:pPr>
          </w:p>
        </w:tc>
        <w:tc>
          <w:tcPr>
            <w:tcW w:w="1166" w:type="dxa"/>
            <w:tcBorders>
              <w:top w:val="single" w:color="auto" w:sz="6" w:space="0"/>
              <w:left w:val="single" w:color="auto" w:sz="6" w:space="0"/>
              <w:bottom w:val="single" w:color="auto" w:sz="6" w:space="0"/>
              <w:right w:val="single" w:color="auto" w:sz="6" w:space="0"/>
            </w:tcBorders>
          </w:tcPr>
          <w:p>
            <w:pPr>
              <w:wordWrap w:val="0"/>
              <w:topLinePunct/>
              <w:spacing w:line="400" w:lineRule="exact"/>
              <w:jc w:val="center"/>
              <w:rPr>
                <w:rFonts w:cs="Arial" w:asciiTheme="minorEastAsia" w:hAnsiTheme="minorEastAsia" w:eastAsiaTheme="minorEastAsia"/>
                <w:sz w:val="24"/>
                <w:szCs w:val="24"/>
                <w:highlight w:val="none"/>
              </w:rPr>
            </w:pPr>
          </w:p>
        </w:tc>
        <w:tc>
          <w:tcPr>
            <w:tcW w:w="1272" w:type="dxa"/>
            <w:tcBorders>
              <w:top w:val="single" w:color="auto" w:sz="6" w:space="0"/>
              <w:left w:val="single" w:color="auto" w:sz="6" w:space="0"/>
              <w:bottom w:val="single" w:color="auto" w:sz="6" w:space="0"/>
              <w:right w:val="single" w:color="auto" w:sz="4" w:space="0"/>
            </w:tcBorders>
            <w:vAlign w:val="center"/>
          </w:tcPr>
          <w:p>
            <w:pPr>
              <w:wordWrap w:val="0"/>
              <w:topLinePunct/>
              <w:spacing w:line="400" w:lineRule="exact"/>
              <w:jc w:val="center"/>
              <w:rPr>
                <w:rFonts w:cs="Arial" w:asciiTheme="minorEastAsia" w:hAnsiTheme="minorEastAsia" w:eastAsiaTheme="minorEastAsia"/>
                <w:sz w:val="24"/>
                <w:szCs w:val="24"/>
                <w:highlight w:val="none"/>
              </w:rPr>
            </w:pPr>
          </w:p>
        </w:tc>
        <w:tc>
          <w:tcPr>
            <w:tcW w:w="1208" w:type="dxa"/>
            <w:gridSpan w:val="2"/>
            <w:tcBorders>
              <w:top w:val="single" w:color="auto" w:sz="6" w:space="0"/>
              <w:left w:val="single" w:color="auto" w:sz="4" w:space="0"/>
              <w:bottom w:val="single" w:color="auto" w:sz="6" w:space="0"/>
              <w:right w:val="single" w:color="auto" w:sz="4" w:space="0"/>
            </w:tcBorders>
            <w:vAlign w:val="center"/>
          </w:tcPr>
          <w:p>
            <w:pPr>
              <w:wordWrap w:val="0"/>
              <w:topLinePunct/>
              <w:spacing w:line="400" w:lineRule="exact"/>
              <w:jc w:val="center"/>
              <w:rPr>
                <w:rFonts w:cs="Arial" w:asciiTheme="minorEastAsia" w:hAnsiTheme="minorEastAsia" w:eastAsiaTheme="minorEastAsia"/>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20" w:type="dxa"/>
            <w:tcBorders>
              <w:top w:val="single" w:color="auto" w:sz="6" w:space="0"/>
              <w:left w:val="single" w:color="auto" w:sz="4" w:space="0"/>
              <w:bottom w:val="single" w:color="auto" w:sz="6" w:space="0"/>
              <w:right w:val="single" w:color="auto" w:sz="6" w:space="0"/>
            </w:tcBorders>
            <w:vAlign w:val="center"/>
          </w:tcPr>
          <w:p>
            <w:pPr>
              <w:wordWrap w:val="0"/>
              <w:topLinePunct/>
              <w:spacing w:line="400" w:lineRule="exact"/>
              <w:jc w:val="center"/>
              <w:rPr>
                <w:rFonts w:cs="Arial" w:asciiTheme="minorEastAsia" w:hAnsiTheme="minorEastAsia" w:eastAsiaTheme="minorEastAsia"/>
                <w:sz w:val="24"/>
                <w:szCs w:val="24"/>
                <w:highlight w:val="none"/>
              </w:rPr>
            </w:pPr>
          </w:p>
        </w:tc>
        <w:tc>
          <w:tcPr>
            <w:tcW w:w="1440" w:type="dxa"/>
            <w:tcBorders>
              <w:top w:val="single" w:color="auto" w:sz="6" w:space="0"/>
              <w:left w:val="single" w:color="auto" w:sz="6" w:space="0"/>
              <w:bottom w:val="single" w:color="auto" w:sz="6" w:space="0"/>
              <w:right w:val="single" w:color="auto" w:sz="6" w:space="0"/>
            </w:tcBorders>
            <w:vAlign w:val="center"/>
          </w:tcPr>
          <w:p>
            <w:pPr>
              <w:wordWrap w:val="0"/>
              <w:topLinePunct/>
              <w:spacing w:line="400" w:lineRule="exact"/>
              <w:jc w:val="center"/>
              <w:rPr>
                <w:rFonts w:cs="Arial" w:asciiTheme="minorEastAsia" w:hAnsiTheme="minorEastAsia" w:eastAsiaTheme="minorEastAsia"/>
                <w:sz w:val="24"/>
                <w:szCs w:val="24"/>
                <w:highlight w:val="none"/>
              </w:rPr>
            </w:pPr>
          </w:p>
        </w:tc>
        <w:tc>
          <w:tcPr>
            <w:tcW w:w="1320" w:type="dxa"/>
            <w:tcBorders>
              <w:top w:val="single" w:color="auto" w:sz="6" w:space="0"/>
              <w:left w:val="single" w:color="auto" w:sz="6" w:space="0"/>
              <w:bottom w:val="single" w:color="auto" w:sz="6" w:space="0"/>
              <w:right w:val="single" w:color="auto" w:sz="6" w:space="0"/>
            </w:tcBorders>
            <w:vAlign w:val="center"/>
          </w:tcPr>
          <w:p>
            <w:pPr>
              <w:wordWrap w:val="0"/>
              <w:topLinePunct/>
              <w:spacing w:line="400" w:lineRule="exact"/>
              <w:jc w:val="center"/>
              <w:rPr>
                <w:rFonts w:cs="Arial" w:asciiTheme="minorEastAsia" w:hAnsiTheme="minorEastAsia" w:eastAsiaTheme="minorEastAsia"/>
                <w:sz w:val="24"/>
                <w:szCs w:val="24"/>
                <w:highlight w:val="none"/>
              </w:rPr>
            </w:pPr>
          </w:p>
        </w:tc>
        <w:tc>
          <w:tcPr>
            <w:tcW w:w="1161" w:type="dxa"/>
            <w:tcBorders>
              <w:top w:val="single" w:color="auto" w:sz="6" w:space="0"/>
              <w:left w:val="single" w:color="auto" w:sz="6" w:space="0"/>
              <w:bottom w:val="single" w:color="auto" w:sz="6" w:space="0"/>
              <w:right w:val="single" w:color="auto" w:sz="6" w:space="0"/>
            </w:tcBorders>
            <w:vAlign w:val="center"/>
          </w:tcPr>
          <w:p>
            <w:pPr>
              <w:wordWrap w:val="0"/>
              <w:topLinePunct/>
              <w:spacing w:line="400" w:lineRule="exact"/>
              <w:jc w:val="center"/>
              <w:rPr>
                <w:rFonts w:cs="Arial" w:asciiTheme="minorEastAsia" w:hAnsiTheme="minorEastAsia" w:eastAsiaTheme="minorEastAsia"/>
                <w:sz w:val="24"/>
                <w:szCs w:val="24"/>
                <w:highlight w:val="none"/>
              </w:rPr>
            </w:pPr>
          </w:p>
        </w:tc>
        <w:tc>
          <w:tcPr>
            <w:tcW w:w="1166" w:type="dxa"/>
            <w:tcBorders>
              <w:top w:val="single" w:color="auto" w:sz="6" w:space="0"/>
              <w:left w:val="single" w:color="auto" w:sz="6" w:space="0"/>
              <w:bottom w:val="single" w:color="auto" w:sz="6" w:space="0"/>
              <w:right w:val="single" w:color="auto" w:sz="6" w:space="0"/>
            </w:tcBorders>
          </w:tcPr>
          <w:p>
            <w:pPr>
              <w:wordWrap w:val="0"/>
              <w:topLinePunct/>
              <w:spacing w:line="400" w:lineRule="exact"/>
              <w:jc w:val="center"/>
              <w:rPr>
                <w:rFonts w:cs="Arial" w:asciiTheme="minorEastAsia" w:hAnsiTheme="minorEastAsia" w:eastAsiaTheme="minorEastAsia"/>
                <w:sz w:val="24"/>
                <w:szCs w:val="24"/>
                <w:highlight w:val="none"/>
              </w:rPr>
            </w:pPr>
          </w:p>
        </w:tc>
        <w:tc>
          <w:tcPr>
            <w:tcW w:w="1272" w:type="dxa"/>
            <w:tcBorders>
              <w:top w:val="single" w:color="auto" w:sz="6" w:space="0"/>
              <w:left w:val="single" w:color="auto" w:sz="6" w:space="0"/>
              <w:bottom w:val="single" w:color="auto" w:sz="6" w:space="0"/>
              <w:right w:val="single" w:color="auto" w:sz="4" w:space="0"/>
            </w:tcBorders>
            <w:vAlign w:val="center"/>
          </w:tcPr>
          <w:p>
            <w:pPr>
              <w:wordWrap w:val="0"/>
              <w:topLinePunct/>
              <w:spacing w:line="400" w:lineRule="exact"/>
              <w:jc w:val="center"/>
              <w:rPr>
                <w:rFonts w:cs="Arial" w:asciiTheme="minorEastAsia" w:hAnsiTheme="minorEastAsia" w:eastAsiaTheme="minorEastAsia"/>
                <w:sz w:val="24"/>
                <w:szCs w:val="24"/>
                <w:highlight w:val="none"/>
              </w:rPr>
            </w:pPr>
          </w:p>
        </w:tc>
        <w:tc>
          <w:tcPr>
            <w:tcW w:w="1208" w:type="dxa"/>
            <w:gridSpan w:val="2"/>
            <w:tcBorders>
              <w:top w:val="single" w:color="auto" w:sz="6" w:space="0"/>
              <w:left w:val="single" w:color="auto" w:sz="4" w:space="0"/>
              <w:bottom w:val="single" w:color="auto" w:sz="6" w:space="0"/>
              <w:right w:val="single" w:color="auto" w:sz="4" w:space="0"/>
            </w:tcBorders>
            <w:vAlign w:val="center"/>
          </w:tcPr>
          <w:p>
            <w:pPr>
              <w:wordWrap w:val="0"/>
              <w:topLinePunct/>
              <w:spacing w:line="400" w:lineRule="exact"/>
              <w:jc w:val="center"/>
              <w:rPr>
                <w:rFonts w:cs="Arial" w:asciiTheme="minorEastAsia" w:hAnsiTheme="minorEastAsia" w:eastAsiaTheme="minorEastAsia"/>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10" w:hRule="atLeast"/>
          <w:jc w:val="center"/>
        </w:trPr>
        <w:tc>
          <w:tcPr>
            <w:tcW w:w="720" w:type="dxa"/>
            <w:tcBorders>
              <w:top w:val="single" w:color="auto" w:sz="6" w:space="0"/>
              <w:left w:val="single" w:color="auto" w:sz="4" w:space="0"/>
              <w:bottom w:val="single" w:color="auto" w:sz="4" w:space="0"/>
              <w:right w:val="single" w:color="auto" w:sz="6" w:space="0"/>
            </w:tcBorders>
            <w:vAlign w:val="center"/>
          </w:tcPr>
          <w:p>
            <w:pPr>
              <w:wordWrap w:val="0"/>
              <w:topLinePunct/>
              <w:spacing w:line="400" w:lineRule="exact"/>
              <w:jc w:val="center"/>
              <w:rPr>
                <w:rFonts w:cs="Arial" w:asciiTheme="minorEastAsia" w:hAnsiTheme="minorEastAsia" w:eastAsiaTheme="minorEastAsia"/>
                <w:sz w:val="24"/>
                <w:szCs w:val="24"/>
                <w:highlight w:val="none"/>
              </w:rPr>
            </w:pPr>
          </w:p>
        </w:tc>
        <w:tc>
          <w:tcPr>
            <w:tcW w:w="1440" w:type="dxa"/>
            <w:tcBorders>
              <w:top w:val="single" w:color="auto" w:sz="6" w:space="0"/>
              <w:left w:val="single" w:color="auto" w:sz="6" w:space="0"/>
              <w:bottom w:val="single" w:color="auto" w:sz="4" w:space="0"/>
              <w:right w:val="single" w:color="auto" w:sz="6" w:space="0"/>
            </w:tcBorders>
            <w:vAlign w:val="center"/>
          </w:tcPr>
          <w:p>
            <w:pPr>
              <w:wordWrap w:val="0"/>
              <w:topLinePunct/>
              <w:spacing w:line="400" w:lineRule="exact"/>
              <w:jc w:val="center"/>
              <w:rPr>
                <w:rFonts w:cs="Arial" w:asciiTheme="minorEastAsia" w:hAnsiTheme="minorEastAsia" w:eastAsiaTheme="minorEastAsia"/>
                <w:sz w:val="24"/>
                <w:szCs w:val="24"/>
                <w:highlight w:val="none"/>
              </w:rPr>
            </w:pPr>
          </w:p>
        </w:tc>
        <w:tc>
          <w:tcPr>
            <w:tcW w:w="1320" w:type="dxa"/>
            <w:tcBorders>
              <w:top w:val="single" w:color="auto" w:sz="6" w:space="0"/>
              <w:left w:val="single" w:color="auto" w:sz="6" w:space="0"/>
              <w:bottom w:val="single" w:color="auto" w:sz="4" w:space="0"/>
              <w:right w:val="single" w:color="auto" w:sz="6" w:space="0"/>
            </w:tcBorders>
            <w:vAlign w:val="center"/>
          </w:tcPr>
          <w:p>
            <w:pPr>
              <w:wordWrap w:val="0"/>
              <w:topLinePunct/>
              <w:spacing w:line="400" w:lineRule="exact"/>
              <w:jc w:val="center"/>
              <w:rPr>
                <w:rFonts w:cs="Arial" w:asciiTheme="minorEastAsia" w:hAnsiTheme="minorEastAsia" w:eastAsiaTheme="minorEastAsia"/>
                <w:sz w:val="24"/>
                <w:szCs w:val="24"/>
                <w:highlight w:val="none"/>
              </w:rPr>
            </w:pPr>
          </w:p>
        </w:tc>
        <w:tc>
          <w:tcPr>
            <w:tcW w:w="1161" w:type="dxa"/>
            <w:tcBorders>
              <w:top w:val="single" w:color="auto" w:sz="6" w:space="0"/>
              <w:left w:val="single" w:color="auto" w:sz="6" w:space="0"/>
              <w:bottom w:val="single" w:color="auto" w:sz="4" w:space="0"/>
              <w:right w:val="single" w:color="auto" w:sz="6" w:space="0"/>
            </w:tcBorders>
            <w:vAlign w:val="center"/>
          </w:tcPr>
          <w:p>
            <w:pPr>
              <w:wordWrap w:val="0"/>
              <w:topLinePunct/>
              <w:spacing w:line="400" w:lineRule="exact"/>
              <w:jc w:val="center"/>
              <w:rPr>
                <w:rFonts w:cs="Arial" w:asciiTheme="minorEastAsia" w:hAnsiTheme="minorEastAsia" w:eastAsiaTheme="minorEastAsia"/>
                <w:sz w:val="24"/>
                <w:szCs w:val="24"/>
                <w:highlight w:val="none"/>
              </w:rPr>
            </w:pPr>
          </w:p>
        </w:tc>
        <w:tc>
          <w:tcPr>
            <w:tcW w:w="1166" w:type="dxa"/>
            <w:tcBorders>
              <w:top w:val="single" w:color="auto" w:sz="6" w:space="0"/>
              <w:left w:val="single" w:color="auto" w:sz="6" w:space="0"/>
              <w:bottom w:val="single" w:color="auto" w:sz="4" w:space="0"/>
              <w:right w:val="single" w:color="auto" w:sz="6" w:space="0"/>
            </w:tcBorders>
          </w:tcPr>
          <w:p>
            <w:pPr>
              <w:wordWrap w:val="0"/>
              <w:topLinePunct/>
              <w:spacing w:line="400" w:lineRule="exact"/>
              <w:jc w:val="center"/>
              <w:rPr>
                <w:rFonts w:cs="Arial" w:asciiTheme="minorEastAsia" w:hAnsiTheme="minorEastAsia" w:eastAsiaTheme="minorEastAsia"/>
                <w:sz w:val="24"/>
                <w:szCs w:val="24"/>
                <w:highlight w:val="none"/>
              </w:rPr>
            </w:pPr>
          </w:p>
        </w:tc>
        <w:tc>
          <w:tcPr>
            <w:tcW w:w="1272" w:type="dxa"/>
            <w:tcBorders>
              <w:top w:val="single" w:color="auto" w:sz="6" w:space="0"/>
              <w:left w:val="single" w:color="auto" w:sz="6" w:space="0"/>
              <w:bottom w:val="single" w:color="auto" w:sz="4" w:space="0"/>
              <w:right w:val="single" w:color="auto" w:sz="4" w:space="0"/>
            </w:tcBorders>
            <w:vAlign w:val="center"/>
          </w:tcPr>
          <w:p>
            <w:pPr>
              <w:wordWrap w:val="0"/>
              <w:topLinePunct/>
              <w:spacing w:line="400" w:lineRule="exact"/>
              <w:jc w:val="center"/>
              <w:rPr>
                <w:rFonts w:cs="Arial" w:asciiTheme="minorEastAsia" w:hAnsiTheme="minorEastAsia" w:eastAsiaTheme="minorEastAsia"/>
                <w:sz w:val="24"/>
                <w:szCs w:val="24"/>
                <w:highlight w:val="none"/>
              </w:rPr>
            </w:pPr>
          </w:p>
        </w:tc>
        <w:tc>
          <w:tcPr>
            <w:tcW w:w="1208" w:type="dxa"/>
            <w:gridSpan w:val="2"/>
            <w:tcBorders>
              <w:top w:val="single" w:color="auto" w:sz="6" w:space="0"/>
              <w:left w:val="single" w:color="auto" w:sz="4" w:space="0"/>
              <w:bottom w:val="single" w:color="auto" w:sz="4" w:space="0"/>
              <w:right w:val="single" w:color="auto" w:sz="4" w:space="0"/>
            </w:tcBorders>
            <w:vAlign w:val="center"/>
          </w:tcPr>
          <w:p>
            <w:pPr>
              <w:wordWrap w:val="0"/>
              <w:topLinePunct/>
              <w:spacing w:line="400" w:lineRule="exact"/>
              <w:jc w:val="center"/>
              <w:rPr>
                <w:rFonts w:cs="Arial" w:asciiTheme="minorEastAsia" w:hAnsiTheme="minorEastAsia" w:eastAsiaTheme="minorEastAsia"/>
                <w:sz w:val="24"/>
                <w:szCs w:val="24"/>
                <w:highlight w:val="none"/>
              </w:rPr>
            </w:pPr>
          </w:p>
        </w:tc>
      </w:tr>
    </w:tbl>
    <w:p>
      <w:pPr>
        <w:tabs>
          <w:tab w:val="left" w:pos="555"/>
          <w:tab w:val="left" w:pos="2214"/>
          <w:tab w:val="left" w:pos="3774"/>
          <w:tab w:val="left" w:pos="4854"/>
          <w:tab w:val="left" w:pos="5934"/>
          <w:tab w:val="left" w:pos="7014"/>
          <w:tab w:val="left" w:pos="8214"/>
          <w:tab w:val="left" w:pos="10134"/>
          <w:tab w:val="left" w:pos="11124"/>
        </w:tabs>
        <w:wordWrap w:val="0"/>
        <w:topLinePunct/>
        <w:spacing w:line="360" w:lineRule="auto"/>
        <w:ind w:left="359" w:leftChars="171"/>
        <w:rPr>
          <w:rFonts w:ascii="宋体" w:hAnsi="宋体" w:cs="Arial"/>
          <w:sz w:val="24"/>
          <w:szCs w:val="24"/>
          <w:highlight w:val="none"/>
        </w:rPr>
      </w:pPr>
      <w:r>
        <w:rPr>
          <w:rFonts w:hint="eastAsia" w:ascii="宋体" w:hAnsi="宋体" w:cs="Arial"/>
          <w:b/>
          <w:bCs/>
          <w:sz w:val="24"/>
          <w:szCs w:val="24"/>
          <w:highlight w:val="none"/>
        </w:rPr>
        <w:t>附：</w:t>
      </w:r>
      <w:r>
        <w:rPr>
          <w:rFonts w:hint="eastAsia" w:ascii="宋体" w:hAnsi="宋体" w:cs="Arial"/>
          <w:sz w:val="24"/>
          <w:szCs w:val="24"/>
          <w:highlight w:val="none"/>
        </w:rPr>
        <w:t>1、提供合同原件的复印件（如评分细则与该附注不一致以评分细则为准）。</w:t>
      </w:r>
    </w:p>
    <w:p>
      <w:pPr>
        <w:wordWrap w:val="0"/>
        <w:topLinePunct/>
        <w:spacing w:line="360" w:lineRule="auto"/>
        <w:ind w:firstLine="720" w:firstLineChars="300"/>
        <w:rPr>
          <w:rFonts w:ascii="宋体" w:hAnsi="宋体"/>
          <w:sz w:val="24"/>
          <w:szCs w:val="24"/>
          <w:highlight w:val="none"/>
        </w:rPr>
      </w:pPr>
      <w:r>
        <w:rPr>
          <w:rFonts w:hint="eastAsia" w:ascii="宋体" w:hAnsi="宋体" w:cs="Arial"/>
          <w:sz w:val="24"/>
          <w:szCs w:val="24"/>
          <w:highlight w:val="none"/>
        </w:rPr>
        <w:t xml:space="preserve">  2、如评分细则中对业绩时间没有明确规定的，以合同签订时间为准</w:t>
      </w:r>
      <w:r>
        <w:rPr>
          <w:rFonts w:hint="eastAsia" w:ascii="宋体" w:hAnsi="宋体"/>
          <w:sz w:val="24"/>
          <w:szCs w:val="24"/>
          <w:highlight w:val="none"/>
        </w:rPr>
        <w:t>。</w:t>
      </w:r>
    </w:p>
    <w:p>
      <w:pPr>
        <w:wordWrap w:val="0"/>
        <w:topLinePunct/>
        <w:spacing w:line="360" w:lineRule="auto"/>
        <w:ind w:firstLine="600" w:firstLineChars="250"/>
        <w:rPr>
          <w:rFonts w:ascii="宋体" w:hAnsi="宋体"/>
          <w:sz w:val="24"/>
          <w:highlight w:val="none"/>
        </w:rPr>
      </w:pPr>
    </w:p>
    <w:p>
      <w:pPr>
        <w:widowControl/>
        <w:jc w:val="left"/>
        <w:rPr>
          <w:rFonts w:ascii="宋体" w:hAnsi="宋体"/>
          <w:sz w:val="24"/>
          <w:highlight w:val="none"/>
        </w:rPr>
      </w:pPr>
      <w:r>
        <w:rPr>
          <w:rFonts w:ascii="宋体" w:hAnsi="宋体"/>
          <w:sz w:val="24"/>
          <w:highlight w:val="none"/>
        </w:rPr>
        <w:br w:type="page"/>
      </w:r>
    </w:p>
    <w:p>
      <w:pPr>
        <w:jc w:val="center"/>
        <w:rPr>
          <w:rFonts w:ascii="宋体" w:hAnsi="宋体" w:cs="宋体"/>
          <w:b/>
          <w:sz w:val="32"/>
          <w:highlight w:val="none"/>
        </w:rPr>
      </w:pPr>
      <w:r>
        <w:rPr>
          <w:rFonts w:hint="eastAsia" w:ascii="宋体" w:hAnsi="宋体" w:cs="宋体"/>
          <w:b/>
          <w:sz w:val="32"/>
          <w:highlight w:val="none"/>
        </w:rPr>
        <w:t>十四、中小企业声明函</w:t>
      </w:r>
    </w:p>
    <w:p>
      <w:pPr>
        <w:spacing w:line="360" w:lineRule="auto"/>
        <w:ind w:firstLine="480" w:firstLineChars="200"/>
        <w:rPr>
          <w:rFonts w:ascii="宋体" w:hAnsi="宋体"/>
          <w:color w:val="000000"/>
          <w:sz w:val="24"/>
          <w:szCs w:val="24"/>
          <w:highlight w:val="none"/>
        </w:rPr>
      </w:pPr>
      <w:r>
        <w:rPr>
          <w:rFonts w:hint="eastAsia" w:ascii="宋体" w:hAnsi="宋体"/>
          <w:color w:val="000000"/>
          <w:sz w:val="24"/>
          <w:szCs w:val="24"/>
          <w:highlight w:val="none"/>
        </w:rPr>
        <w:t>本公司（联合体）郑重声明，根据《政府采购促进中小企业发展管理办法》（财库﹝2020﹞46 号）的规定，本公司（联合体）参加</w:t>
      </w:r>
      <w:r>
        <w:rPr>
          <w:rFonts w:hint="eastAsia" w:ascii="宋体" w:hAnsi="宋体"/>
          <w:iCs/>
          <w:color w:val="000000"/>
          <w:sz w:val="24"/>
          <w:szCs w:val="24"/>
          <w:highlight w:val="none"/>
          <w:u w:val="single"/>
        </w:rPr>
        <w:t>（单位名称）</w:t>
      </w:r>
      <w:r>
        <w:rPr>
          <w:rFonts w:hint="eastAsia" w:ascii="宋体" w:hAnsi="宋体"/>
          <w:color w:val="000000"/>
          <w:sz w:val="24"/>
          <w:szCs w:val="24"/>
          <w:highlight w:val="none"/>
        </w:rPr>
        <w:t>的</w:t>
      </w:r>
      <w:r>
        <w:rPr>
          <w:rFonts w:hint="eastAsia" w:ascii="宋体" w:hAnsi="宋体"/>
          <w:iCs/>
          <w:color w:val="000000"/>
          <w:sz w:val="24"/>
          <w:szCs w:val="24"/>
          <w:highlight w:val="none"/>
          <w:u w:val="single"/>
        </w:rPr>
        <w:t>（项目名称）</w:t>
      </w:r>
      <w:r>
        <w:rPr>
          <w:rFonts w:hint="eastAsia" w:ascii="宋体" w:hAnsi="宋体"/>
          <w:color w:val="000000"/>
          <w:sz w:val="24"/>
          <w:szCs w:val="24"/>
          <w:highlight w:val="none"/>
        </w:rPr>
        <w:t>采购活动，服务全部由符合政策要求的中小企业承接。相关企业（含联合体中的中小企业、签订分包意向协议的中小企业）的具体情况如下：</w:t>
      </w:r>
    </w:p>
    <w:p>
      <w:pPr>
        <w:spacing w:line="360" w:lineRule="auto"/>
        <w:ind w:firstLine="480" w:firstLineChars="200"/>
        <w:rPr>
          <w:rFonts w:ascii="宋体" w:hAnsi="宋体"/>
          <w:color w:val="000000"/>
          <w:sz w:val="24"/>
          <w:szCs w:val="24"/>
          <w:highlight w:val="none"/>
        </w:rPr>
      </w:pPr>
      <w:r>
        <w:rPr>
          <w:rFonts w:hint="eastAsia" w:ascii="宋体" w:hAnsi="宋体"/>
          <w:color w:val="000000"/>
          <w:sz w:val="24"/>
          <w:szCs w:val="24"/>
          <w:highlight w:val="none"/>
        </w:rPr>
        <w:t xml:space="preserve">1. </w:t>
      </w:r>
      <w:r>
        <w:rPr>
          <w:rFonts w:hint="eastAsia" w:ascii="宋体" w:hAnsi="宋体"/>
          <w:iCs/>
          <w:color w:val="000000"/>
          <w:sz w:val="24"/>
          <w:szCs w:val="24"/>
          <w:highlight w:val="none"/>
          <w:u w:val="single"/>
        </w:rPr>
        <w:t>（标的名称）</w:t>
      </w:r>
      <w:r>
        <w:rPr>
          <w:rFonts w:hint="eastAsia" w:ascii="宋体" w:hAnsi="宋体"/>
          <w:color w:val="000000"/>
          <w:sz w:val="24"/>
          <w:szCs w:val="24"/>
          <w:highlight w:val="none"/>
        </w:rPr>
        <w:t>，属于</w:t>
      </w:r>
      <w:r>
        <w:rPr>
          <w:rFonts w:hint="eastAsia" w:ascii="宋体" w:hAnsi="宋体"/>
          <w:iCs/>
          <w:color w:val="000000"/>
          <w:sz w:val="24"/>
          <w:szCs w:val="24"/>
          <w:highlight w:val="none"/>
          <w:u w:val="single"/>
        </w:rPr>
        <w:t>（采购文件中明确的所属行业）</w:t>
      </w:r>
      <w:r>
        <w:rPr>
          <w:rFonts w:hint="eastAsia" w:ascii="宋体" w:hAnsi="宋体"/>
          <w:color w:val="000000"/>
          <w:sz w:val="24"/>
          <w:szCs w:val="24"/>
          <w:highlight w:val="none"/>
        </w:rPr>
        <w:t>；承接企业为</w:t>
      </w:r>
      <w:r>
        <w:rPr>
          <w:rFonts w:hint="eastAsia" w:ascii="宋体" w:hAnsi="宋体"/>
          <w:iCs/>
          <w:color w:val="000000"/>
          <w:sz w:val="24"/>
          <w:szCs w:val="24"/>
          <w:highlight w:val="none"/>
          <w:u w:val="single"/>
        </w:rPr>
        <w:t>（企业名称）</w:t>
      </w:r>
      <w:r>
        <w:rPr>
          <w:rFonts w:hint="eastAsia" w:ascii="宋体" w:hAnsi="宋体"/>
          <w:color w:val="000000"/>
          <w:sz w:val="24"/>
          <w:szCs w:val="24"/>
          <w:highlight w:val="none"/>
        </w:rPr>
        <w:t>，从业人员</w:t>
      </w:r>
      <w:r>
        <w:rPr>
          <w:rFonts w:hint="eastAsia" w:ascii="宋体" w:hAnsi="宋体"/>
          <w:color w:val="000000"/>
          <w:sz w:val="24"/>
          <w:szCs w:val="24"/>
          <w:highlight w:val="none"/>
          <w:u w:val="single"/>
        </w:rPr>
        <w:t>XXX</w:t>
      </w:r>
      <w:r>
        <w:rPr>
          <w:rFonts w:hint="eastAsia" w:ascii="宋体" w:hAnsi="宋体"/>
          <w:color w:val="000000"/>
          <w:sz w:val="24"/>
          <w:szCs w:val="24"/>
          <w:highlight w:val="none"/>
        </w:rPr>
        <w:t>人，营业收入为</w:t>
      </w:r>
      <w:r>
        <w:rPr>
          <w:rFonts w:hint="eastAsia" w:ascii="宋体" w:hAnsi="宋体"/>
          <w:color w:val="000000"/>
          <w:sz w:val="24"/>
          <w:szCs w:val="24"/>
          <w:highlight w:val="none"/>
          <w:u w:val="single"/>
        </w:rPr>
        <w:t>XXX</w:t>
      </w:r>
      <w:r>
        <w:rPr>
          <w:rFonts w:hint="eastAsia" w:ascii="宋体" w:hAnsi="宋体"/>
          <w:color w:val="000000"/>
          <w:sz w:val="24"/>
          <w:szCs w:val="24"/>
          <w:highlight w:val="none"/>
        </w:rPr>
        <w:t>万元，资产总额为</w:t>
      </w:r>
      <w:r>
        <w:rPr>
          <w:rFonts w:hint="eastAsia" w:ascii="宋体" w:hAnsi="宋体"/>
          <w:color w:val="000000"/>
          <w:sz w:val="24"/>
          <w:szCs w:val="24"/>
          <w:highlight w:val="none"/>
          <w:u w:val="single"/>
        </w:rPr>
        <w:t>XXX</w:t>
      </w:r>
      <w:r>
        <w:rPr>
          <w:rFonts w:hint="eastAsia" w:ascii="宋体" w:hAnsi="宋体"/>
          <w:color w:val="000000"/>
          <w:sz w:val="24"/>
          <w:szCs w:val="24"/>
          <w:highlight w:val="none"/>
        </w:rPr>
        <w:t>万元，属于</w:t>
      </w:r>
      <w:r>
        <w:rPr>
          <w:rFonts w:hint="eastAsia" w:ascii="宋体" w:hAnsi="宋体"/>
          <w:iCs/>
          <w:color w:val="000000"/>
          <w:sz w:val="24"/>
          <w:szCs w:val="24"/>
          <w:highlight w:val="none"/>
          <w:u w:val="single"/>
        </w:rPr>
        <w:t>（中型企业、小型企业、微型企业）</w:t>
      </w:r>
      <w:r>
        <w:rPr>
          <w:rFonts w:hint="eastAsia" w:ascii="宋体" w:hAnsi="宋体"/>
          <w:color w:val="000000"/>
          <w:sz w:val="24"/>
          <w:szCs w:val="24"/>
          <w:highlight w:val="none"/>
        </w:rPr>
        <w:t xml:space="preserve">； </w:t>
      </w:r>
    </w:p>
    <w:p>
      <w:pPr>
        <w:spacing w:line="360" w:lineRule="auto"/>
        <w:ind w:firstLine="480" w:firstLineChars="200"/>
        <w:rPr>
          <w:rFonts w:ascii="宋体" w:hAnsi="宋体"/>
          <w:color w:val="000000"/>
          <w:sz w:val="24"/>
          <w:szCs w:val="24"/>
          <w:highlight w:val="none"/>
        </w:rPr>
      </w:pPr>
      <w:r>
        <w:rPr>
          <w:rFonts w:hint="eastAsia" w:ascii="宋体" w:hAnsi="宋体"/>
          <w:color w:val="000000"/>
          <w:sz w:val="24"/>
          <w:szCs w:val="24"/>
          <w:highlight w:val="none"/>
        </w:rPr>
        <w:t xml:space="preserve">2. </w:t>
      </w:r>
      <w:r>
        <w:rPr>
          <w:rFonts w:hint="eastAsia" w:ascii="宋体" w:hAnsi="宋体"/>
          <w:iCs/>
          <w:color w:val="000000"/>
          <w:sz w:val="24"/>
          <w:szCs w:val="24"/>
          <w:highlight w:val="none"/>
          <w:u w:val="single"/>
        </w:rPr>
        <w:t>（标的名称）</w:t>
      </w:r>
      <w:r>
        <w:rPr>
          <w:rFonts w:hint="eastAsia" w:ascii="宋体" w:hAnsi="宋体"/>
          <w:color w:val="000000"/>
          <w:sz w:val="24"/>
          <w:szCs w:val="24"/>
          <w:highlight w:val="none"/>
        </w:rPr>
        <w:t>，属于</w:t>
      </w:r>
      <w:r>
        <w:rPr>
          <w:rFonts w:hint="eastAsia" w:ascii="宋体" w:hAnsi="宋体"/>
          <w:iCs/>
          <w:color w:val="000000"/>
          <w:sz w:val="24"/>
          <w:szCs w:val="24"/>
          <w:highlight w:val="none"/>
          <w:u w:val="single"/>
        </w:rPr>
        <w:t>（采购文件中明确的所属行业）</w:t>
      </w:r>
      <w:r>
        <w:rPr>
          <w:rFonts w:hint="eastAsia" w:ascii="宋体" w:hAnsi="宋体"/>
          <w:color w:val="000000"/>
          <w:sz w:val="24"/>
          <w:szCs w:val="24"/>
          <w:highlight w:val="none"/>
        </w:rPr>
        <w:t>；承接企业为</w:t>
      </w:r>
      <w:r>
        <w:rPr>
          <w:rFonts w:hint="eastAsia" w:ascii="宋体" w:hAnsi="宋体"/>
          <w:iCs/>
          <w:color w:val="000000"/>
          <w:sz w:val="24"/>
          <w:szCs w:val="24"/>
          <w:highlight w:val="none"/>
          <w:u w:val="single"/>
        </w:rPr>
        <w:t>（企业名称）</w:t>
      </w:r>
      <w:r>
        <w:rPr>
          <w:rFonts w:hint="eastAsia" w:ascii="宋体" w:hAnsi="宋体"/>
          <w:color w:val="000000"/>
          <w:sz w:val="24"/>
          <w:szCs w:val="24"/>
          <w:highlight w:val="none"/>
        </w:rPr>
        <w:t>，从业人员</w:t>
      </w:r>
      <w:r>
        <w:rPr>
          <w:rFonts w:hint="eastAsia" w:ascii="宋体" w:hAnsi="宋体"/>
          <w:color w:val="000000"/>
          <w:sz w:val="24"/>
          <w:szCs w:val="24"/>
          <w:highlight w:val="none"/>
          <w:u w:val="single"/>
        </w:rPr>
        <w:t>XXX</w:t>
      </w:r>
      <w:r>
        <w:rPr>
          <w:rFonts w:hint="eastAsia" w:ascii="宋体" w:hAnsi="宋体"/>
          <w:color w:val="000000"/>
          <w:sz w:val="24"/>
          <w:szCs w:val="24"/>
          <w:highlight w:val="none"/>
        </w:rPr>
        <w:t>人，营业收入为</w:t>
      </w:r>
      <w:r>
        <w:rPr>
          <w:rFonts w:hint="eastAsia" w:ascii="宋体" w:hAnsi="宋体"/>
          <w:color w:val="000000"/>
          <w:sz w:val="24"/>
          <w:szCs w:val="24"/>
          <w:highlight w:val="none"/>
          <w:u w:val="single"/>
        </w:rPr>
        <w:t>XXX</w:t>
      </w:r>
      <w:r>
        <w:rPr>
          <w:rFonts w:hint="eastAsia" w:ascii="宋体" w:hAnsi="宋体"/>
          <w:color w:val="000000"/>
          <w:sz w:val="24"/>
          <w:szCs w:val="24"/>
          <w:highlight w:val="none"/>
        </w:rPr>
        <w:t>万元，资产总额为</w:t>
      </w:r>
      <w:r>
        <w:rPr>
          <w:rFonts w:hint="eastAsia" w:ascii="宋体" w:hAnsi="宋体"/>
          <w:color w:val="000000"/>
          <w:sz w:val="24"/>
          <w:szCs w:val="24"/>
          <w:highlight w:val="none"/>
          <w:u w:val="single"/>
        </w:rPr>
        <w:t>XXX</w:t>
      </w:r>
      <w:r>
        <w:rPr>
          <w:rFonts w:hint="eastAsia" w:ascii="宋体" w:hAnsi="宋体"/>
          <w:color w:val="000000"/>
          <w:sz w:val="24"/>
          <w:szCs w:val="24"/>
          <w:highlight w:val="none"/>
        </w:rPr>
        <w:t>万元，属于</w:t>
      </w:r>
      <w:r>
        <w:rPr>
          <w:rFonts w:hint="eastAsia" w:ascii="宋体" w:hAnsi="宋体"/>
          <w:iCs/>
          <w:color w:val="000000"/>
          <w:sz w:val="24"/>
          <w:szCs w:val="24"/>
          <w:highlight w:val="none"/>
          <w:u w:val="single"/>
        </w:rPr>
        <w:t>（中型企业、小型企业、微型企业）</w:t>
      </w:r>
      <w:r>
        <w:rPr>
          <w:rFonts w:hint="eastAsia" w:ascii="宋体" w:hAnsi="宋体"/>
          <w:color w:val="000000"/>
          <w:sz w:val="24"/>
          <w:szCs w:val="24"/>
          <w:highlight w:val="none"/>
        </w:rPr>
        <w:t>；</w:t>
      </w:r>
    </w:p>
    <w:p>
      <w:pPr>
        <w:spacing w:line="360" w:lineRule="auto"/>
        <w:ind w:firstLine="480" w:firstLineChars="200"/>
        <w:rPr>
          <w:rFonts w:ascii="宋体" w:hAnsi="宋体"/>
          <w:color w:val="000000"/>
          <w:sz w:val="24"/>
          <w:szCs w:val="24"/>
          <w:highlight w:val="none"/>
        </w:rPr>
      </w:pPr>
      <w:r>
        <w:rPr>
          <w:rFonts w:hint="eastAsia" w:ascii="宋体" w:hAnsi="宋体"/>
          <w:color w:val="000000"/>
          <w:sz w:val="24"/>
          <w:szCs w:val="24"/>
          <w:highlight w:val="none"/>
        </w:rPr>
        <w:t>以上企业，不属于大企业的分支机构，不存在控股股东为大企业的情形，也不存在与大企业的负责人为同一人的情形。</w:t>
      </w:r>
    </w:p>
    <w:p>
      <w:pPr>
        <w:spacing w:line="360" w:lineRule="auto"/>
        <w:ind w:firstLine="480" w:firstLineChars="200"/>
        <w:rPr>
          <w:rFonts w:ascii="宋体" w:hAnsi="宋体"/>
          <w:color w:val="000000"/>
          <w:sz w:val="24"/>
          <w:szCs w:val="24"/>
          <w:highlight w:val="none"/>
        </w:rPr>
      </w:pPr>
      <w:r>
        <w:rPr>
          <w:rFonts w:hint="eastAsia" w:ascii="宋体" w:hAnsi="宋体"/>
          <w:color w:val="000000"/>
          <w:sz w:val="24"/>
          <w:szCs w:val="24"/>
          <w:highlight w:val="none"/>
        </w:rPr>
        <w:t xml:space="preserve">本企业对上述声明内容的真实性负责。如有虚假，将依法承担相应责任。 </w:t>
      </w:r>
    </w:p>
    <w:p>
      <w:pPr>
        <w:spacing w:line="360" w:lineRule="auto"/>
        <w:rPr>
          <w:rFonts w:ascii="宋体" w:hAnsi="宋体"/>
          <w:color w:val="000000"/>
          <w:sz w:val="24"/>
          <w:szCs w:val="24"/>
          <w:highlight w:val="none"/>
        </w:rPr>
      </w:pPr>
    </w:p>
    <w:p>
      <w:pPr>
        <w:spacing w:line="360" w:lineRule="auto"/>
        <w:rPr>
          <w:rFonts w:ascii="宋体" w:hAnsi="宋体"/>
          <w:color w:val="000000"/>
          <w:sz w:val="24"/>
          <w:szCs w:val="24"/>
          <w:highlight w:val="none"/>
        </w:rPr>
      </w:pPr>
      <w:r>
        <w:rPr>
          <w:rFonts w:hint="eastAsia" w:ascii="宋体" w:hAnsi="宋体"/>
          <w:color w:val="000000"/>
          <w:sz w:val="24"/>
          <w:szCs w:val="24"/>
          <w:highlight w:val="none"/>
        </w:rPr>
        <w:t>企业名称（</w:t>
      </w:r>
      <w:r>
        <w:rPr>
          <w:rFonts w:ascii="宋体" w:hAnsi="宋体"/>
          <w:color w:val="000000"/>
          <w:sz w:val="24"/>
          <w:szCs w:val="24"/>
          <w:highlight w:val="none"/>
        </w:rPr>
        <w:t>单位</w:t>
      </w:r>
      <w:r>
        <w:rPr>
          <w:rFonts w:hint="eastAsia" w:ascii="宋体" w:hAnsi="宋体"/>
          <w:color w:val="000000"/>
          <w:sz w:val="24"/>
          <w:szCs w:val="24"/>
          <w:highlight w:val="none"/>
        </w:rPr>
        <w:t>盖</w:t>
      </w:r>
      <w:r>
        <w:rPr>
          <w:rFonts w:ascii="宋体" w:hAnsi="宋体"/>
          <w:color w:val="000000"/>
          <w:sz w:val="24"/>
          <w:szCs w:val="24"/>
          <w:highlight w:val="none"/>
        </w:rPr>
        <w:t>章</w:t>
      </w:r>
      <w:r>
        <w:rPr>
          <w:rFonts w:hint="eastAsia" w:ascii="宋体" w:hAnsi="宋体"/>
          <w:color w:val="000000"/>
          <w:sz w:val="24"/>
          <w:szCs w:val="24"/>
          <w:highlight w:val="none"/>
        </w:rPr>
        <w:t xml:space="preserve">）： </w:t>
      </w:r>
    </w:p>
    <w:p>
      <w:pPr>
        <w:spacing w:line="360" w:lineRule="auto"/>
        <w:rPr>
          <w:rFonts w:ascii="宋体" w:hAnsi="宋体"/>
          <w:color w:val="000000"/>
          <w:sz w:val="24"/>
          <w:szCs w:val="24"/>
          <w:highlight w:val="none"/>
        </w:rPr>
      </w:pPr>
      <w:r>
        <w:rPr>
          <w:rFonts w:hint="eastAsia" w:ascii="宋体" w:hAnsi="宋体"/>
          <w:color w:val="000000"/>
          <w:sz w:val="24"/>
          <w:szCs w:val="24"/>
          <w:highlight w:val="none"/>
        </w:rPr>
        <w:t>日 期：</w:t>
      </w:r>
    </w:p>
    <w:p>
      <w:pPr>
        <w:spacing w:line="360" w:lineRule="auto"/>
        <w:rPr>
          <w:rFonts w:ascii="宋体" w:hAnsi="宋体"/>
          <w:color w:val="000000"/>
          <w:sz w:val="24"/>
          <w:szCs w:val="24"/>
          <w:highlight w:val="none"/>
        </w:rPr>
      </w:pPr>
    </w:p>
    <w:p>
      <w:pPr>
        <w:spacing w:line="360" w:lineRule="auto"/>
        <w:jc w:val="center"/>
        <w:rPr>
          <w:rFonts w:ascii="宋体" w:hAnsi="宋体"/>
          <w:b/>
          <w:bCs/>
          <w:sz w:val="24"/>
          <w:highlight w:val="none"/>
        </w:rPr>
      </w:pPr>
    </w:p>
    <w:p>
      <w:pPr>
        <w:jc w:val="center"/>
        <w:rPr>
          <w:rFonts w:hint="eastAsia" w:ascii="宋体" w:hAnsi="宋体" w:cs="宋体"/>
          <w:b/>
          <w:sz w:val="32"/>
          <w:highlight w:val="none"/>
        </w:rPr>
      </w:pPr>
    </w:p>
    <w:p>
      <w:pPr>
        <w:jc w:val="center"/>
        <w:rPr>
          <w:rFonts w:hint="eastAsia" w:ascii="宋体" w:hAnsi="宋体" w:cs="宋体"/>
          <w:b/>
          <w:sz w:val="32"/>
          <w:highlight w:val="none"/>
        </w:rPr>
      </w:pPr>
    </w:p>
    <w:p>
      <w:pPr>
        <w:jc w:val="center"/>
        <w:rPr>
          <w:rFonts w:hint="eastAsia" w:ascii="宋体" w:hAnsi="宋体" w:cs="宋体"/>
          <w:b/>
          <w:sz w:val="32"/>
          <w:highlight w:val="none"/>
        </w:rPr>
      </w:pPr>
    </w:p>
    <w:p>
      <w:pPr>
        <w:rPr>
          <w:rFonts w:hint="eastAsia" w:ascii="宋体" w:hAnsi="宋体" w:cs="宋体"/>
          <w:b/>
          <w:sz w:val="32"/>
          <w:highlight w:val="none"/>
        </w:rPr>
      </w:pPr>
      <w:r>
        <w:rPr>
          <w:rFonts w:hint="eastAsia" w:ascii="宋体" w:hAnsi="宋体" w:cs="宋体"/>
          <w:b/>
          <w:sz w:val="32"/>
          <w:highlight w:val="none"/>
        </w:rPr>
        <w:br w:type="page"/>
      </w:r>
    </w:p>
    <w:p>
      <w:pPr>
        <w:jc w:val="center"/>
        <w:rPr>
          <w:rFonts w:ascii="宋体" w:hAnsi="宋体" w:cs="宋体"/>
          <w:b/>
          <w:sz w:val="32"/>
          <w:highlight w:val="none"/>
        </w:rPr>
      </w:pPr>
      <w:r>
        <w:rPr>
          <w:rFonts w:hint="eastAsia" w:ascii="宋体" w:hAnsi="宋体" w:cs="宋体"/>
          <w:b/>
          <w:sz w:val="32"/>
          <w:highlight w:val="none"/>
        </w:rPr>
        <w:t>十</w:t>
      </w:r>
      <w:r>
        <w:rPr>
          <w:rFonts w:hint="eastAsia" w:ascii="宋体" w:hAnsi="宋体" w:cs="宋体"/>
          <w:b/>
          <w:sz w:val="32"/>
          <w:highlight w:val="none"/>
          <w:lang w:val="en-US" w:eastAsia="zh-CN"/>
        </w:rPr>
        <w:t>五</w:t>
      </w:r>
      <w:r>
        <w:rPr>
          <w:rFonts w:hint="eastAsia" w:ascii="宋体" w:hAnsi="宋体" w:cs="宋体"/>
          <w:b/>
          <w:sz w:val="32"/>
          <w:highlight w:val="none"/>
        </w:rPr>
        <w:t xml:space="preserve"> 、其他材料</w:t>
      </w:r>
    </w:p>
    <w:p>
      <w:pPr>
        <w:pStyle w:val="11"/>
        <w:topLinePunct/>
        <w:spacing w:line="380" w:lineRule="exact"/>
        <w:jc w:val="center"/>
        <w:rPr>
          <w:rFonts w:ascii="宋体" w:hAnsi="宋体"/>
          <w:bCs/>
          <w:sz w:val="36"/>
          <w:szCs w:val="36"/>
          <w:highlight w:val="none"/>
        </w:rPr>
      </w:pPr>
    </w:p>
    <w:p>
      <w:pPr>
        <w:wordWrap w:val="0"/>
        <w:topLinePunct/>
        <w:spacing w:line="400" w:lineRule="exact"/>
        <w:ind w:firstLine="480" w:firstLineChars="200"/>
        <w:jc w:val="left"/>
        <w:rPr>
          <w:rFonts w:ascii="宋体" w:hAnsi="宋体" w:cs="Arial"/>
          <w:b/>
          <w:bCs/>
          <w:sz w:val="24"/>
          <w:highlight w:val="none"/>
        </w:rPr>
      </w:pPr>
      <w:r>
        <w:rPr>
          <w:rFonts w:hint="eastAsia" w:ascii="宋体" w:hAnsi="宋体" w:cs="Arial"/>
          <w:bCs/>
          <w:sz w:val="24"/>
          <w:highlight w:val="none"/>
        </w:rPr>
        <w:t>附:按照招标文件要求的其他材料以及投标人认为需要提供的其他资料。</w:t>
      </w:r>
    </w:p>
    <w:p>
      <w:pPr>
        <w:pStyle w:val="3"/>
        <w:pageBreakBefore/>
        <w:jc w:val="center"/>
        <w:rPr>
          <w:rFonts w:ascii="宋体" w:hAnsi="宋体"/>
          <w:highlight w:val="none"/>
        </w:rPr>
      </w:pPr>
      <w:bookmarkStart w:id="44" w:name="_Toc484268472"/>
      <w:bookmarkStart w:id="45" w:name="_Toc78978672"/>
      <w:r>
        <w:rPr>
          <w:rFonts w:hint="eastAsia" w:ascii="宋体" w:hAnsi="宋体"/>
          <w:highlight w:val="none"/>
        </w:rPr>
        <w:t>第四章  招标项目技术、服务及其他要求</w:t>
      </w:r>
      <w:bookmarkEnd w:id="44"/>
      <w:bookmarkEnd w:id="45"/>
    </w:p>
    <w:p>
      <w:pPr>
        <w:pStyle w:val="4"/>
        <w:rPr>
          <w:rFonts w:hint="eastAsia" w:ascii="宋体" w:eastAsia="宋体"/>
          <w:sz w:val="24"/>
          <w:szCs w:val="24"/>
        </w:rPr>
      </w:pPr>
      <w:r>
        <w:rPr>
          <w:rFonts w:hint="eastAsia" w:ascii="宋体" w:eastAsia="宋体"/>
          <w:sz w:val="24"/>
          <w:szCs w:val="24"/>
        </w:rPr>
        <w:t>一、项目背景及目标</w:t>
      </w:r>
    </w:p>
    <w:p>
      <w:pPr>
        <w:pStyle w:val="17"/>
        <w:shd w:val="clear" w:color="auto" w:fill="FFFFFF"/>
        <w:spacing w:line="360" w:lineRule="auto"/>
        <w:ind w:firstLine="480" w:firstLineChars="200"/>
        <w:rPr>
          <w:rFonts w:cs="Times New Roman"/>
          <w:color w:val="000000"/>
          <w:lang w:bidi="ar-SA"/>
        </w:rPr>
      </w:pPr>
      <w:r>
        <w:rPr>
          <w:rFonts w:hint="eastAsia" w:cs="Times New Roman"/>
          <w:color w:val="000000"/>
          <w:lang w:bidi="ar-SA"/>
        </w:rPr>
        <w:t>按照党中央、国务院关于退役军人信息化工作的新部署和新要求，</w:t>
      </w:r>
      <w:r>
        <w:rPr>
          <w:rFonts w:cs="Times New Roman"/>
          <w:color w:val="000000"/>
          <w:lang w:bidi="ar-SA"/>
        </w:rPr>
        <w:t>作为全省退役军人事务信息化建设的重要组成部分，眉山市退役军人事务系统信息化建设项目将在遵循退役军人部信息化总体架构及“一库、两平台、一支撑”总体建设任务和退役军人厅“11123”总体建设思路的基础上，以“智慧服务大厅”和“退役军人综合信息数据库及数据资源管理体系”为重点建设方向，全面构建一体化、数字化、智能化、网络化的全市退役军人信息管理服务平台，为全市退役军人的服务与管理工作提供信息科技保障。</w:t>
      </w:r>
    </w:p>
    <w:p>
      <w:pPr>
        <w:pStyle w:val="4"/>
        <w:rPr>
          <w:rFonts w:hint="eastAsia" w:ascii="宋体" w:eastAsia="宋体"/>
          <w:sz w:val="24"/>
          <w:szCs w:val="24"/>
        </w:rPr>
      </w:pPr>
      <w:r>
        <w:rPr>
          <w:rFonts w:hint="eastAsia" w:ascii="宋体" w:eastAsia="宋体"/>
          <w:sz w:val="24"/>
          <w:szCs w:val="24"/>
        </w:rPr>
        <w:t>二、项目总体需求</w:t>
      </w:r>
    </w:p>
    <w:p>
      <w:pPr>
        <w:pStyle w:val="17"/>
        <w:shd w:val="clear" w:color="auto" w:fill="FFFFFF"/>
        <w:spacing w:line="360" w:lineRule="auto"/>
        <w:ind w:firstLine="480" w:firstLineChars="200"/>
        <w:rPr>
          <w:rFonts w:cs="Times New Roman"/>
          <w:color w:val="000000"/>
          <w:lang w:bidi="ar-SA"/>
        </w:rPr>
      </w:pPr>
      <w:r>
        <w:rPr>
          <w:rFonts w:hint="eastAsia" w:cs="Times New Roman"/>
          <w:color w:val="000000"/>
          <w:lang w:bidi="ar-SA"/>
        </w:rPr>
        <w:t>建设覆盖眉山市市县两级退役军人部门、</w:t>
      </w:r>
      <w:r>
        <w:rPr>
          <w:rFonts w:cs="Times New Roman"/>
          <w:color w:val="000000"/>
          <w:lang w:bidi="ar-SA"/>
        </w:rPr>
        <w:t>7个服务中心、927个服务站以及12.28万退役军人和其他优抚对象的退役军人事务系统信息化应用，此外，</w:t>
      </w:r>
      <w:r>
        <w:rPr>
          <w:rFonts w:hint="eastAsia" w:cs="Times New Roman"/>
          <w:color w:val="000000"/>
          <w:lang w:bidi="ar-SA"/>
        </w:rPr>
        <w:t>在退役军人局本地</w:t>
      </w:r>
      <w:r>
        <w:rPr>
          <w:rFonts w:cs="Times New Roman"/>
          <w:color w:val="000000"/>
          <w:lang w:bidi="ar-SA"/>
        </w:rPr>
        <w:t>建成面积为12</w:t>
      </w:r>
      <w:r>
        <w:rPr>
          <w:rFonts w:hint="eastAsia" w:cs="Times New Roman"/>
          <w:color w:val="000000"/>
          <w:lang w:bidi="ar-SA"/>
        </w:rPr>
        <w:t>㎡</w:t>
      </w:r>
      <w:r>
        <w:rPr>
          <w:rFonts w:cs="Times New Roman"/>
          <w:color w:val="000000"/>
          <w:lang w:bidi="ar-SA"/>
        </w:rPr>
        <w:t>的网络设备间；适应性改造退役军人局171</w:t>
      </w:r>
      <w:r>
        <w:rPr>
          <w:rFonts w:hint="eastAsia" w:cs="Times New Roman"/>
          <w:color w:val="000000"/>
          <w:lang w:bidi="ar-SA"/>
        </w:rPr>
        <w:t>㎡</w:t>
      </w:r>
      <w:r>
        <w:rPr>
          <w:rFonts w:cs="Times New Roman"/>
          <w:color w:val="000000"/>
          <w:lang w:bidi="ar-SA"/>
        </w:rPr>
        <w:t>的市级退役军人咨询服务大厅和124m2的退役军人荣誉室；完成局大楼4楼应急指挥大厅和2楼应急指挥分会场建设</w:t>
      </w:r>
      <w:r>
        <w:rPr>
          <w:rFonts w:hint="eastAsia" w:cs="Times New Roman"/>
          <w:color w:val="000000"/>
          <w:lang w:eastAsia="zh-CN" w:bidi="ar-SA"/>
        </w:rPr>
        <w:t>；</w:t>
      </w:r>
      <w:r>
        <w:rPr>
          <w:rFonts w:hint="eastAsia" w:cs="Times New Roman"/>
          <w:color w:val="000000"/>
          <w:lang w:val="en-US" w:eastAsia="zh-CN" w:bidi="ar-SA"/>
        </w:rPr>
        <w:t>本项目需与人社、医保等相关部门进行数据对接，所需费用包含在本次招标经费内，采购人不单独增加费用</w:t>
      </w:r>
      <w:r>
        <w:rPr>
          <w:rFonts w:cs="Times New Roman"/>
          <w:color w:val="000000"/>
          <w:lang w:bidi="ar-SA"/>
        </w:rPr>
        <w:t>。</w:t>
      </w:r>
    </w:p>
    <w:p>
      <w:pPr>
        <w:pStyle w:val="17"/>
        <w:shd w:val="clear" w:color="auto" w:fill="FFFFFF"/>
        <w:spacing w:line="360" w:lineRule="auto"/>
        <w:ind w:firstLine="480" w:firstLineChars="200"/>
        <w:rPr>
          <w:rFonts w:cs="Times New Roman"/>
          <w:color w:val="000000"/>
          <w:lang w:bidi="ar-SA"/>
        </w:rPr>
      </w:pPr>
      <w:r>
        <w:rPr>
          <w:rFonts w:hint="eastAsia" w:cs="Times New Roman"/>
          <w:color w:val="000000"/>
          <w:lang w:bidi="ar-SA"/>
        </w:rPr>
        <w:t>建设需求具体包括：</w:t>
      </w:r>
    </w:p>
    <w:p>
      <w:pPr>
        <w:pStyle w:val="17"/>
        <w:shd w:val="clear" w:color="auto" w:fill="FFFFFF"/>
        <w:spacing w:line="360" w:lineRule="auto"/>
        <w:ind w:firstLine="480" w:firstLineChars="200"/>
        <w:rPr>
          <w:rFonts w:cs="Times New Roman"/>
          <w:color w:val="000000"/>
          <w:lang w:bidi="ar-SA"/>
        </w:rPr>
      </w:pPr>
      <w:r>
        <w:rPr>
          <w:rFonts w:hint="eastAsia" w:cs="Times New Roman"/>
          <w:color w:val="000000"/>
          <w:lang w:bidi="ar-SA"/>
        </w:rPr>
        <w:t>（</w:t>
      </w:r>
      <w:r>
        <w:rPr>
          <w:rFonts w:cs="Times New Roman"/>
          <w:color w:val="000000"/>
          <w:lang w:bidi="ar-SA"/>
        </w:rPr>
        <w:t>1）智慧服务大厅一体化服务平台建设</w:t>
      </w:r>
      <w:r>
        <w:rPr>
          <w:rFonts w:hint="eastAsia" w:cs="Times New Roman"/>
          <w:color w:val="000000"/>
          <w:lang w:bidi="ar-SA"/>
        </w:rPr>
        <w:t>需求</w:t>
      </w:r>
    </w:p>
    <w:p>
      <w:pPr>
        <w:pStyle w:val="17"/>
        <w:shd w:val="clear" w:color="auto" w:fill="FFFFFF"/>
        <w:spacing w:line="360" w:lineRule="auto"/>
        <w:ind w:firstLine="480" w:firstLineChars="200"/>
        <w:rPr>
          <w:rFonts w:cs="Times New Roman"/>
          <w:color w:val="000000"/>
          <w:lang w:bidi="ar-SA"/>
        </w:rPr>
      </w:pPr>
      <w:r>
        <w:rPr>
          <w:rFonts w:hint="eastAsia" w:cs="Times New Roman"/>
          <w:color w:val="000000"/>
          <w:lang w:bidi="ar-SA"/>
        </w:rPr>
        <w:t>面向全市各级退役军人部门、服务中心（站）工作人员和全市退役军人，按照咨询、办事、体验等主题，结合线下实体服务大厅建设智慧服务大厅一体化服务平台，为全市广大退役军人和其他优抚对象提供精准服务。包括：一体化自助服务终端应用系统、一体化服务业务办理系统和一体化掌上服务平台（基于“眉山退役军人”微信公众号）</w:t>
      </w:r>
      <w:r>
        <w:rPr>
          <w:rFonts w:cs="Times New Roman"/>
          <w:color w:val="000000"/>
          <w:lang w:bidi="ar-SA"/>
        </w:rPr>
        <w:t>。</w:t>
      </w:r>
    </w:p>
    <w:p>
      <w:pPr>
        <w:pStyle w:val="17"/>
        <w:shd w:val="clear" w:color="auto" w:fill="FFFFFF"/>
        <w:spacing w:line="360" w:lineRule="auto"/>
        <w:ind w:firstLine="480" w:firstLineChars="200"/>
        <w:rPr>
          <w:rFonts w:cs="Times New Roman"/>
          <w:color w:val="000000"/>
          <w:lang w:bidi="ar-SA"/>
        </w:rPr>
      </w:pPr>
      <w:r>
        <w:rPr>
          <w:rFonts w:hint="eastAsia" w:cs="Times New Roman"/>
          <w:color w:val="000000"/>
          <w:lang w:bidi="ar-SA"/>
        </w:rPr>
        <w:t>（</w:t>
      </w:r>
      <w:r>
        <w:rPr>
          <w:rFonts w:cs="Times New Roman"/>
          <w:color w:val="000000"/>
          <w:lang w:bidi="ar-SA"/>
        </w:rPr>
        <w:t>2）眉山退役军人就业培训管控系统建设</w:t>
      </w:r>
      <w:r>
        <w:rPr>
          <w:rFonts w:hint="eastAsia" w:cs="Times New Roman"/>
          <w:color w:val="000000"/>
          <w:lang w:bidi="ar-SA"/>
        </w:rPr>
        <w:t>需求</w:t>
      </w:r>
    </w:p>
    <w:p>
      <w:pPr>
        <w:pStyle w:val="17"/>
        <w:shd w:val="clear" w:color="auto" w:fill="FFFFFF"/>
        <w:spacing w:line="360" w:lineRule="auto"/>
        <w:ind w:firstLine="480" w:firstLineChars="200"/>
        <w:rPr>
          <w:rFonts w:cs="Times New Roman"/>
          <w:color w:val="000000"/>
          <w:lang w:bidi="ar-SA"/>
        </w:rPr>
      </w:pPr>
      <w:r>
        <w:rPr>
          <w:rFonts w:hint="eastAsia" w:cs="Times New Roman"/>
          <w:color w:val="000000"/>
          <w:lang w:bidi="ar-SA"/>
        </w:rPr>
        <w:t>建设</w:t>
      </w:r>
      <w:r>
        <w:rPr>
          <w:rFonts w:cs="Times New Roman"/>
          <w:color w:val="000000"/>
          <w:lang w:bidi="ar-SA"/>
        </w:rPr>
        <w:t>眉山退役军人就业培训管控系统</w:t>
      </w:r>
      <w:r>
        <w:rPr>
          <w:rFonts w:hint="eastAsia" w:cs="Times New Roman"/>
          <w:color w:val="000000"/>
          <w:lang w:bidi="ar-SA"/>
        </w:rPr>
        <w:t>，针对有就业需求、教育培训需求的退役军人、用人单位企业、日常服务、第三方金融机构与培训机构，提供与退役军人就业创业及教育培训相关的各类服务。</w:t>
      </w:r>
    </w:p>
    <w:p>
      <w:pPr>
        <w:pStyle w:val="17"/>
        <w:shd w:val="clear" w:color="auto" w:fill="FFFFFF"/>
        <w:spacing w:line="360" w:lineRule="auto"/>
        <w:ind w:firstLine="480" w:firstLineChars="200"/>
        <w:rPr>
          <w:rFonts w:cs="Times New Roman"/>
          <w:color w:val="000000"/>
          <w:lang w:bidi="ar-SA"/>
        </w:rPr>
      </w:pPr>
      <w:r>
        <w:rPr>
          <w:rFonts w:hint="eastAsia" w:cs="Times New Roman"/>
          <w:color w:val="000000"/>
          <w:lang w:bidi="ar-SA"/>
        </w:rPr>
        <w:t>（</w:t>
      </w:r>
      <w:r>
        <w:rPr>
          <w:rFonts w:cs="Times New Roman"/>
          <w:color w:val="000000"/>
          <w:lang w:bidi="ar-SA"/>
        </w:rPr>
        <w:t>3）标准规范建设</w:t>
      </w:r>
      <w:r>
        <w:rPr>
          <w:rFonts w:hint="eastAsia" w:cs="Times New Roman"/>
          <w:color w:val="000000"/>
          <w:lang w:bidi="ar-SA"/>
        </w:rPr>
        <w:t xml:space="preserve">需求 </w:t>
      </w:r>
    </w:p>
    <w:p>
      <w:pPr>
        <w:pStyle w:val="17"/>
        <w:shd w:val="clear" w:color="auto" w:fill="FFFFFF"/>
        <w:spacing w:line="360" w:lineRule="auto"/>
        <w:ind w:firstLine="480" w:firstLineChars="200"/>
        <w:rPr>
          <w:rFonts w:cs="Times New Roman"/>
          <w:color w:val="000000"/>
          <w:lang w:bidi="ar-SA"/>
        </w:rPr>
      </w:pPr>
      <w:r>
        <w:rPr>
          <w:rFonts w:hint="eastAsia" w:cs="Times New Roman"/>
          <w:color w:val="000000"/>
          <w:lang w:bidi="ar-SA"/>
        </w:rPr>
        <w:t>在引用现有国家标准、退役军人行业标准和四川省地方标准的基础上，结合自身业务需求制订眉山市退役军人事务信息化数据标准，指导和规范全市信息化建设，确保省市协同、信息共享。</w:t>
      </w:r>
    </w:p>
    <w:p>
      <w:pPr>
        <w:pStyle w:val="17"/>
        <w:shd w:val="clear" w:color="auto" w:fill="FFFFFF"/>
        <w:spacing w:line="360" w:lineRule="auto"/>
        <w:ind w:firstLine="480" w:firstLineChars="200"/>
        <w:rPr>
          <w:rFonts w:cs="Times New Roman"/>
          <w:color w:val="000000"/>
          <w:lang w:bidi="ar-SA"/>
        </w:rPr>
      </w:pPr>
      <w:r>
        <w:rPr>
          <w:rFonts w:hint="eastAsia" w:cs="Times New Roman"/>
          <w:color w:val="000000"/>
          <w:lang w:bidi="ar-SA"/>
        </w:rPr>
        <w:t>（</w:t>
      </w:r>
      <w:r>
        <w:rPr>
          <w:rFonts w:cs="Times New Roman"/>
          <w:color w:val="000000"/>
          <w:lang w:bidi="ar-SA"/>
        </w:rPr>
        <w:t>4）信息资源规划及数据库建设</w:t>
      </w:r>
      <w:r>
        <w:rPr>
          <w:rFonts w:hint="eastAsia" w:cs="Times New Roman"/>
          <w:color w:val="000000"/>
          <w:lang w:bidi="ar-SA"/>
        </w:rPr>
        <w:t>需求</w:t>
      </w:r>
    </w:p>
    <w:p>
      <w:pPr>
        <w:pStyle w:val="17"/>
        <w:shd w:val="clear" w:color="auto" w:fill="FFFFFF"/>
        <w:spacing w:line="360" w:lineRule="auto"/>
        <w:ind w:firstLine="480" w:firstLineChars="200"/>
        <w:rPr>
          <w:rFonts w:cs="Times New Roman"/>
          <w:color w:val="000000"/>
          <w:lang w:bidi="ar-SA"/>
        </w:rPr>
      </w:pPr>
      <w:r>
        <w:rPr>
          <w:rFonts w:hint="eastAsia" w:cs="Times New Roman"/>
          <w:color w:val="000000"/>
          <w:lang w:bidi="ar-SA"/>
        </w:rPr>
        <w:t>建设眉山市退役军人信息数据资源中心，形成眉山市退役军人综合信息数据库；构建眉山市退役军人信息资源管理体系，提供数据整合、数据治理、数据服务和数据应用平台支撑。</w:t>
      </w:r>
    </w:p>
    <w:p>
      <w:pPr>
        <w:pStyle w:val="17"/>
        <w:shd w:val="clear" w:color="auto" w:fill="FFFFFF"/>
        <w:spacing w:line="360" w:lineRule="auto"/>
        <w:ind w:firstLine="480" w:firstLineChars="200"/>
        <w:rPr>
          <w:rFonts w:cs="Times New Roman"/>
          <w:color w:val="000000"/>
          <w:lang w:bidi="ar-SA"/>
        </w:rPr>
      </w:pPr>
      <w:r>
        <w:rPr>
          <w:rFonts w:hint="eastAsia" w:cs="Times New Roman"/>
          <w:color w:val="000000"/>
          <w:lang w:bidi="ar-SA"/>
        </w:rPr>
        <w:t>（</w:t>
      </w:r>
      <w:r>
        <w:rPr>
          <w:rFonts w:cs="Times New Roman"/>
          <w:color w:val="000000"/>
          <w:lang w:bidi="ar-SA"/>
        </w:rPr>
        <w:t>5）智慧服务大厅建设</w:t>
      </w:r>
      <w:r>
        <w:rPr>
          <w:rFonts w:hint="eastAsia" w:cs="Times New Roman"/>
          <w:color w:val="000000"/>
          <w:lang w:bidi="ar-SA"/>
        </w:rPr>
        <w:t>需求</w:t>
      </w:r>
    </w:p>
    <w:p>
      <w:pPr>
        <w:pStyle w:val="17"/>
        <w:shd w:val="clear" w:color="auto" w:fill="FFFFFF"/>
        <w:spacing w:line="360" w:lineRule="auto"/>
        <w:ind w:firstLine="480" w:firstLineChars="200"/>
        <w:rPr>
          <w:rFonts w:cs="Times New Roman"/>
          <w:color w:val="000000"/>
          <w:lang w:bidi="ar-SA"/>
        </w:rPr>
      </w:pPr>
      <w:r>
        <w:rPr>
          <w:rFonts w:hint="eastAsia" w:cs="Times New Roman"/>
          <w:color w:val="000000"/>
          <w:lang w:bidi="ar-SA"/>
        </w:rPr>
        <w:t>围绕“一体化”服务目标，建设眉山市退役军人智慧服务大厅信息化基础设施并对服务大厅基础环境进行适应性改造，包括：排队叫号系统、大厅广播系统、大屏显示系统、智能安检系统、服务终端和配套房间（接待室、援助室、咨询室）智能化设备等</w:t>
      </w:r>
      <w:r>
        <w:rPr>
          <w:rFonts w:cs="Times New Roman"/>
          <w:color w:val="000000"/>
          <w:lang w:bidi="ar-SA"/>
        </w:rPr>
        <w:t>。</w:t>
      </w:r>
    </w:p>
    <w:p>
      <w:pPr>
        <w:pStyle w:val="17"/>
        <w:shd w:val="clear" w:color="auto" w:fill="FFFFFF"/>
        <w:spacing w:line="360" w:lineRule="auto"/>
        <w:ind w:firstLine="480" w:firstLineChars="200"/>
        <w:rPr>
          <w:rFonts w:cs="Times New Roman"/>
          <w:color w:val="000000"/>
          <w:lang w:bidi="ar-SA"/>
        </w:rPr>
      </w:pPr>
      <w:r>
        <w:rPr>
          <w:rFonts w:hint="eastAsia" w:cs="Times New Roman"/>
          <w:color w:val="000000"/>
          <w:lang w:bidi="ar-SA"/>
        </w:rPr>
        <w:t>（</w:t>
      </w:r>
      <w:r>
        <w:rPr>
          <w:rFonts w:cs="Times New Roman"/>
          <w:color w:val="000000"/>
          <w:lang w:bidi="ar-SA"/>
        </w:rPr>
        <w:t>6）荣誉室智能化设备建设</w:t>
      </w:r>
      <w:r>
        <w:rPr>
          <w:rFonts w:hint="eastAsia" w:cs="Times New Roman"/>
          <w:color w:val="000000"/>
          <w:lang w:bidi="ar-SA"/>
        </w:rPr>
        <w:t>需求</w:t>
      </w:r>
    </w:p>
    <w:p>
      <w:pPr>
        <w:pStyle w:val="17"/>
        <w:shd w:val="clear" w:color="auto" w:fill="FFFFFF"/>
        <w:spacing w:line="360" w:lineRule="auto"/>
        <w:ind w:firstLine="480" w:firstLineChars="200"/>
        <w:rPr>
          <w:rFonts w:cs="Times New Roman"/>
          <w:color w:val="000000"/>
          <w:lang w:bidi="ar-SA"/>
        </w:rPr>
      </w:pPr>
      <w:r>
        <w:rPr>
          <w:rFonts w:hint="eastAsia" w:cs="Times New Roman"/>
          <w:color w:val="000000"/>
          <w:lang w:bidi="ar-SA"/>
        </w:rPr>
        <w:t>在眉山市退役军人服务中心选取合适的业务房间，建设眉山市退役军人荣誉室，包括：信息发布系统</w:t>
      </w:r>
      <w:r>
        <w:rPr>
          <w:rFonts w:cs="Times New Roman"/>
          <w:color w:val="000000"/>
          <w:lang w:bidi="ar-SA"/>
        </w:rPr>
        <w:t>、迎宾接待机器人、触摸屏、挂壁显示屏和互动滑轨屏等。</w:t>
      </w:r>
    </w:p>
    <w:p>
      <w:pPr>
        <w:pStyle w:val="17"/>
        <w:shd w:val="clear" w:color="auto" w:fill="FFFFFF"/>
        <w:spacing w:line="360" w:lineRule="auto"/>
        <w:ind w:firstLine="480" w:firstLineChars="200"/>
        <w:rPr>
          <w:rFonts w:cs="Times New Roman"/>
          <w:color w:val="000000"/>
          <w:lang w:bidi="ar-SA"/>
        </w:rPr>
      </w:pPr>
      <w:r>
        <w:rPr>
          <w:rFonts w:hint="eastAsia" w:cs="Times New Roman"/>
          <w:color w:val="000000"/>
          <w:lang w:bidi="ar-SA"/>
        </w:rPr>
        <w:t>（</w:t>
      </w:r>
      <w:r>
        <w:rPr>
          <w:rFonts w:cs="Times New Roman"/>
          <w:color w:val="000000"/>
          <w:lang w:bidi="ar-SA"/>
        </w:rPr>
        <w:t>7）其他配套设施建设</w:t>
      </w:r>
      <w:r>
        <w:rPr>
          <w:rFonts w:hint="eastAsia" w:cs="Times New Roman"/>
          <w:color w:val="000000"/>
          <w:lang w:bidi="ar-SA"/>
        </w:rPr>
        <w:t>需求</w:t>
      </w:r>
    </w:p>
    <w:p>
      <w:pPr>
        <w:pStyle w:val="17"/>
        <w:shd w:val="clear" w:color="auto" w:fill="FFFFFF"/>
        <w:spacing w:line="360" w:lineRule="auto"/>
        <w:ind w:firstLine="480" w:firstLineChars="200"/>
        <w:rPr>
          <w:rFonts w:cs="Times New Roman"/>
          <w:color w:val="000000"/>
          <w:lang w:bidi="ar-SA"/>
        </w:rPr>
      </w:pPr>
      <w:r>
        <w:rPr>
          <w:rFonts w:cs="Times New Roman"/>
          <w:color w:val="000000"/>
          <w:lang w:bidi="ar-SA"/>
        </w:rPr>
        <w:t>结合等保2.0三级安全防护要求</w:t>
      </w:r>
      <w:r>
        <w:rPr>
          <w:rFonts w:hint="eastAsia" w:cs="Times New Roman"/>
          <w:color w:val="000000"/>
          <w:lang w:bidi="ar-SA"/>
        </w:rPr>
        <w:t>，</w:t>
      </w:r>
      <w:r>
        <w:rPr>
          <w:rFonts w:cs="Times New Roman"/>
          <w:color w:val="000000"/>
          <w:lang w:bidi="ar-SA"/>
        </w:rPr>
        <w:t>新增应用系统所需域内安全防护系统；按照四川省退役军人事务应急指挥体系总体建设要求，在退役军人局办公楼4楼设置退役军人应急指挥大厅，在2楼服务中心旁会议室设置</w:t>
      </w:r>
      <w:r>
        <w:rPr>
          <w:rFonts w:hint="eastAsia" w:cs="Times New Roman"/>
          <w:color w:val="000000"/>
          <w:lang w:bidi="ar-SA"/>
        </w:rPr>
        <w:t>分会场；在局行政办公楼内建设智慧服务大厅配套网络设备间（面积约为</w:t>
      </w:r>
      <w:r>
        <w:rPr>
          <w:rFonts w:cs="Times New Roman"/>
          <w:color w:val="000000"/>
          <w:lang w:bidi="ar-SA"/>
        </w:rPr>
        <w:t>12</w:t>
      </w:r>
      <w:r>
        <w:rPr>
          <w:rFonts w:hint="eastAsia" w:cs="Times New Roman"/>
          <w:color w:val="000000"/>
          <w:lang w:bidi="ar-SA"/>
        </w:rPr>
        <w:t>㎡</w:t>
      </w:r>
      <w:r>
        <w:rPr>
          <w:rFonts w:cs="Times New Roman"/>
          <w:color w:val="000000"/>
          <w:lang w:bidi="ar-SA"/>
        </w:rPr>
        <w:t>），确保应用稳定运行。</w:t>
      </w:r>
    </w:p>
    <w:p/>
    <w:p>
      <w:pPr>
        <w:pStyle w:val="4"/>
        <w:rPr>
          <w:rFonts w:hint="eastAsia" w:ascii="宋体" w:eastAsia="宋体"/>
          <w:sz w:val="24"/>
          <w:szCs w:val="24"/>
        </w:rPr>
      </w:pPr>
      <w:r>
        <w:rPr>
          <w:rFonts w:hint="eastAsia" w:ascii="宋体" w:eastAsia="宋体"/>
          <w:sz w:val="24"/>
          <w:szCs w:val="24"/>
        </w:rPr>
        <w:t>三、采购清单与技术参数配置及要求</w:t>
      </w:r>
    </w:p>
    <w:tbl>
      <w:tblPr>
        <w:tblStyle w:val="1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4"/>
        <w:gridCol w:w="1089"/>
        <w:gridCol w:w="4631"/>
        <w:gridCol w:w="547"/>
        <w:gridCol w:w="561"/>
        <w:gridCol w:w="13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390" w:type="dxa"/>
            <w:noWrap w:val="0"/>
            <w:vAlign w:val="center"/>
          </w:tcPr>
          <w:p>
            <w:pPr>
              <w:widowControl/>
              <w:jc w:val="center"/>
              <w:rPr>
                <w:rFonts w:hint="eastAsia" w:ascii="宋体" w:cs="宋体"/>
                <w:b/>
                <w:bCs/>
                <w:color w:val="000000"/>
                <w:kern w:val="0"/>
                <w:sz w:val="24"/>
                <w:szCs w:val="24"/>
                <w:lang w:bidi="ar-SA"/>
              </w:rPr>
            </w:pPr>
            <w:r>
              <w:rPr>
                <w:rFonts w:hint="eastAsia" w:ascii="宋体" w:cs="宋体"/>
                <w:b/>
                <w:bCs/>
                <w:color w:val="000000"/>
                <w:kern w:val="0"/>
                <w:sz w:val="24"/>
                <w:szCs w:val="24"/>
                <w:lang w:bidi="ar-SA"/>
              </w:rPr>
              <w:t>序号</w:t>
            </w:r>
          </w:p>
        </w:tc>
        <w:tc>
          <w:tcPr>
            <w:tcW w:w="1273" w:type="dxa"/>
            <w:noWrap w:val="0"/>
            <w:vAlign w:val="center"/>
          </w:tcPr>
          <w:p>
            <w:pPr>
              <w:widowControl/>
              <w:jc w:val="center"/>
              <w:rPr>
                <w:rFonts w:hint="eastAsia" w:ascii="宋体" w:cs="宋体"/>
                <w:b/>
                <w:bCs/>
                <w:color w:val="000000"/>
                <w:kern w:val="0"/>
                <w:sz w:val="24"/>
                <w:szCs w:val="24"/>
                <w:lang w:bidi="ar-SA"/>
              </w:rPr>
            </w:pPr>
            <w:r>
              <w:rPr>
                <w:rFonts w:hint="eastAsia" w:ascii="宋体" w:cs="宋体"/>
                <w:b/>
                <w:bCs/>
                <w:color w:val="000000"/>
                <w:kern w:val="0"/>
                <w:sz w:val="24"/>
                <w:szCs w:val="24"/>
                <w:lang w:bidi="ar-SA"/>
              </w:rPr>
              <w:t>名称</w:t>
            </w:r>
          </w:p>
        </w:tc>
        <w:tc>
          <w:tcPr>
            <w:tcW w:w="5413" w:type="dxa"/>
            <w:noWrap w:val="0"/>
            <w:vAlign w:val="center"/>
          </w:tcPr>
          <w:p>
            <w:pPr>
              <w:widowControl/>
              <w:jc w:val="center"/>
              <w:rPr>
                <w:rFonts w:hint="eastAsia" w:ascii="宋体" w:cs="宋体"/>
                <w:b/>
                <w:bCs/>
                <w:color w:val="000000"/>
                <w:kern w:val="0"/>
                <w:sz w:val="24"/>
                <w:szCs w:val="24"/>
                <w:lang w:bidi="ar-SA"/>
              </w:rPr>
            </w:pPr>
            <w:r>
              <w:rPr>
                <w:rFonts w:hint="eastAsia" w:ascii="宋体" w:cs="宋体"/>
                <w:b/>
                <w:bCs/>
                <w:color w:val="000000"/>
                <w:kern w:val="0"/>
                <w:sz w:val="24"/>
                <w:szCs w:val="24"/>
                <w:lang w:bidi="ar-SA"/>
              </w:rPr>
              <w:t>技术指标</w:t>
            </w:r>
          </w:p>
        </w:tc>
        <w:tc>
          <w:tcPr>
            <w:tcW w:w="640" w:type="dxa"/>
            <w:noWrap w:val="0"/>
            <w:vAlign w:val="center"/>
          </w:tcPr>
          <w:p>
            <w:pPr>
              <w:widowControl/>
              <w:jc w:val="center"/>
              <w:rPr>
                <w:rFonts w:hint="eastAsia" w:ascii="宋体" w:cs="宋体"/>
                <w:b/>
                <w:bCs/>
                <w:color w:val="000000"/>
                <w:kern w:val="0"/>
                <w:sz w:val="24"/>
                <w:szCs w:val="24"/>
                <w:lang w:bidi="ar-SA"/>
              </w:rPr>
            </w:pPr>
            <w:r>
              <w:rPr>
                <w:rFonts w:hint="eastAsia" w:ascii="宋体" w:cs="宋体"/>
                <w:b/>
                <w:bCs/>
                <w:color w:val="000000"/>
                <w:kern w:val="0"/>
                <w:sz w:val="24"/>
                <w:szCs w:val="24"/>
                <w:lang w:bidi="ar-SA"/>
              </w:rPr>
              <w:t>数量</w:t>
            </w:r>
          </w:p>
        </w:tc>
        <w:tc>
          <w:tcPr>
            <w:tcW w:w="656" w:type="dxa"/>
            <w:noWrap w:val="0"/>
            <w:vAlign w:val="center"/>
          </w:tcPr>
          <w:p>
            <w:pPr>
              <w:widowControl/>
              <w:jc w:val="center"/>
              <w:rPr>
                <w:rFonts w:hint="eastAsia" w:ascii="宋体" w:cs="宋体"/>
                <w:b/>
                <w:bCs/>
                <w:color w:val="000000"/>
                <w:kern w:val="0"/>
                <w:sz w:val="24"/>
                <w:szCs w:val="24"/>
                <w:lang w:bidi="ar-SA"/>
              </w:rPr>
            </w:pPr>
            <w:r>
              <w:rPr>
                <w:rFonts w:hint="eastAsia" w:ascii="宋体" w:cs="宋体"/>
                <w:b/>
                <w:bCs/>
                <w:color w:val="000000"/>
                <w:kern w:val="0"/>
                <w:sz w:val="24"/>
                <w:szCs w:val="24"/>
                <w:lang w:bidi="ar-SA"/>
              </w:rPr>
              <w:t>单位</w:t>
            </w:r>
          </w:p>
        </w:tc>
        <w:tc>
          <w:tcPr>
            <w:tcW w:w="1590" w:type="dxa"/>
            <w:noWrap w:val="0"/>
            <w:vAlign w:val="center"/>
          </w:tcPr>
          <w:p>
            <w:pPr>
              <w:widowControl/>
              <w:jc w:val="center"/>
              <w:rPr>
                <w:rFonts w:hint="eastAsia" w:ascii="宋体" w:cs="宋体"/>
                <w:b/>
                <w:bCs/>
                <w:color w:val="000000"/>
                <w:kern w:val="0"/>
                <w:sz w:val="24"/>
                <w:szCs w:val="24"/>
                <w:lang w:bidi="ar-SA"/>
              </w:rPr>
            </w:pPr>
            <w:r>
              <w:rPr>
                <w:rFonts w:hint="eastAsia" w:ascii="宋体" w:cs="宋体"/>
                <w:b/>
                <w:bCs/>
                <w:color w:val="000000"/>
                <w:kern w:val="0"/>
                <w:sz w:val="24"/>
                <w:szCs w:val="24"/>
                <w:lang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372" w:type="dxa"/>
            <w:gridSpan w:val="5"/>
            <w:noWrap w:val="0"/>
            <w:vAlign w:val="center"/>
          </w:tcPr>
          <w:p>
            <w:pPr>
              <w:widowControl/>
              <w:jc w:val="left"/>
              <w:rPr>
                <w:rFonts w:hint="eastAsia" w:ascii="宋体" w:cs="宋体"/>
                <w:b/>
                <w:bCs/>
                <w:color w:val="000000"/>
                <w:kern w:val="0"/>
                <w:sz w:val="24"/>
                <w:szCs w:val="24"/>
                <w:lang w:bidi="ar-SA"/>
              </w:rPr>
            </w:pPr>
            <w:r>
              <w:rPr>
                <w:rFonts w:hint="eastAsia" w:ascii="宋体" w:cs="宋体"/>
                <w:b/>
                <w:bCs/>
                <w:color w:val="000000"/>
                <w:kern w:val="0"/>
                <w:sz w:val="24"/>
                <w:szCs w:val="24"/>
                <w:lang w:bidi="ar-SA"/>
              </w:rPr>
              <w:t>一、硬件设备</w:t>
            </w:r>
          </w:p>
        </w:tc>
        <w:tc>
          <w:tcPr>
            <w:tcW w:w="1590" w:type="dxa"/>
            <w:noWrap w:val="0"/>
            <w:vAlign w:val="center"/>
          </w:tcPr>
          <w:p>
            <w:pPr>
              <w:widowControl/>
              <w:jc w:val="left"/>
              <w:rPr>
                <w:rFonts w:hint="eastAsia" w:ascii="宋体" w:cs="宋体"/>
                <w:color w:val="000000"/>
                <w:kern w:val="0"/>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372" w:type="dxa"/>
            <w:gridSpan w:val="5"/>
            <w:noWrap w:val="0"/>
            <w:vAlign w:val="center"/>
          </w:tcPr>
          <w:p>
            <w:pPr>
              <w:widowControl/>
              <w:jc w:val="left"/>
              <w:rPr>
                <w:rFonts w:hint="eastAsia" w:ascii="宋体" w:cs="宋体"/>
                <w:b/>
                <w:bCs/>
                <w:color w:val="000000"/>
                <w:kern w:val="0"/>
                <w:sz w:val="24"/>
                <w:szCs w:val="24"/>
                <w:lang w:bidi="ar-SA"/>
              </w:rPr>
            </w:pPr>
            <w:r>
              <w:rPr>
                <w:rFonts w:hint="eastAsia" w:ascii="宋体" w:cs="宋体"/>
                <w:b/>
                <w:bCs/>
                <w:color w:val="000000"/>
                <w:kern w:val="0"/>
                <w:sz w:val="24"/>
                <w:szCs w:val="24"/>
                <w:lang w:bidi="ar-SA"/>
              </w:rPr>
              <w:t>（四）安全设备（含软件）</w:t>
            </w:r>
          </w:p>
        </w:tc>
        <w:tc>
          <w:tcPr>
            <w:tcW w:w="1590" w:type="dxa"/>
            <w:noWrap w:val="0"/>
            <w:vAlign w:val="center"/>
          </w:tcPr>
          <w:p>
            <w:pPr>
              <w:widowControl/>
              <w:jc w:val="left"/>
              <w:rPr>
                <w:rFonts w:hint="eastAsia" w:ascii="宋体" w:cs="宋体"/>
                <w:color w:val="000000"/>
                <w:kern w:val="0"/>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防病毒系统</w:t>
            </w:r>
            <w:r>
              <w:rPr>
                <w:rFonts w:hint="eastAsia" w:ascii="宋体" w:cs="宋体"/>
                <w:color w:val="000000"/>
                <w:kern w:val="0"/>
                <w:sz w:val="24"/>
                <w:szCs w:val="24"/>
                <w:lang w:bidi="ar-SA"/>
              </w:rPr>
              <w:br w:type="textWrapping"/>
            </w:r>
            <w:r>
              <w:rPr>
                <w:rFonts w:hint="eastAsia" w:ascii="宋体" w:cs="宋体"/>
                <w:color w:val="000000"/>
                <w:kern w:val="0"/>
                <w:sz w:val="24"/>
                <w:szCs w:val="24"/>
                <w:lang w:bidi="ar-SA"/>
              </w:rPr>
              <w:t>（政务外网区）</w:t>
            </w:r>
          </w:p>
        </w:tc>
        <w:tc>
          <w:tcPr>
            <w:tcW w:w="5413" w:type="dxa"/>
            <w:noWrap w:val="0"/>
            <w:vAlign w:val="center"/>
          </w:tcPr>
          <w:p>
            <w:pPr>
              <w:widowControl/>
              <w:jc w:val="left"/>
              <w:rPr>
                <w:rFonts w:hint="eastAsia" w:ascii="宋体" w:cs="宋体"/>
                <w:color w:val="000000"/>
                <w:kern w:val="0"/>
                <w:sz w:val="24"/>
                <w:szCs w:val="24"/>
                <w:lang w:bidi="ar-SA"/>
              </w:rPr>
            </w:pPr>
            <w:r>
              <w:rPr>
                <w:rFonts w:hint="eastAsia"/>
                <w:color w:val="000000"/>
                <w:sz w:val="24"/>
                <w:szCs w:val="24"/>
              </w:rPr>
              <w:t>1、采用B/S架构管理端，具备设备分组管理、策略制定下发、全网健康状况监测、统一杀毒、统一漏洞修复、网络流量管理、终端软件管理、硬件资产管理以及各种报表和查询等功能，提供200个终端授权；</w:t>
            </w:r>
            <w:r>
              <w:rPr>
                <w:rFonts w:hint="eastAsia"/>
                <w:color w:val="000000"/>
                <w:sz w:val="24"/>
                <w:szCs w:val="24"/>
              </w:rPr>
              <w:br w:type="textWrapping"/>
            </w:r>
            <w:r>
              <w:rPr>
                <w:rFonts w:hint="eastAsia"/>
                <w:color w:val="000000"/>
                <w:sz w:val="24"/>
                <w:szCs w:val="24"/>
              </w:rPr>
              <w:t>2、提供支持终端保护密码，设置密码后，终端退出或卸载杀毒、或安装控制中心，都需要输入正确的密码方可执行；</w:t>
            </w:r>
            <w:r>
              <w:rPr>
                <w:rFonts w:hint="eastAsia"/>
                <w:color w:val="000000"/>
                <w:sz w:val="24"/>
                <w:szCs w:val="24"/>
              </w:rPr>
              <w:br w:type="textWrapping"/>
            </w:r>
            <w:r>
              <w:rPr>
                <w:rFonts w:hint="eastAsia"/>
                <w:color w:val="000000"/>
                <w:sz w:val="24"/>
                <w:szCs w:val="24"/>
              </w:rPr>
              <w:t>3、提供支持文件、引导区、内存、注册表、服务、进程、进出文件、目录、压缩文件、网页等恶意代码、恶意样本查杀；</w:t>
            </w:r>
            <w:r>
              <w:rPr>
                <w:rFonts w:hint="eastAsia"/>
                <w:color w:val="000000"/>
                <w:sz w:val="24"/>
                <w:szCs w:val="24"/>
              </w:rPr>
              <w:br w:type="textWrapping"/>
            </w:r>
            <w:r>
              <w:rPr>
                <w:rFonts w:hint="eastAsia"/>
                <w:color w:val="000000"/>
                <w:sz w:val="24"/>
                <w:szCs w:val="24"/>
              </w:rPr>
              <w:t>4、提供支持文件解压缩病毒查杀，支持对zip、rar、7z等多种格式的压缩文件查杀能力，可对压缩包层级设置以节省终端计算资源；</w:t>
            </w:r>
            <w:r>
              <w:rPr>
                <w:rFonts w:hint="eastAsia"/>
                <w:color w:val="000000"/>
                <w:sz w:val="24"/>
                <w:szCs w:val="24"/>
              </w:rPr>
              <w:br w:type="textWrapping"/>
            </w:r>
            <w:r>
              <w:rPr>
                <w:rFonts w:hint="eastAsia"/>
                <w:color w:val="000000"/>
                <w:sz w:val="24"/>
                <w:szCs w:val="24"/>
              </w:rPr>
              <w:t>5、病毒检测清除能力，构建全网文件信誉库，当一台终端发现某一病毒文件，全网可进行感知并进行针对性查杀，支持处置病毒时选择是否在其它终端上同步处置 ；</w:t>
            </w:r>
            <w:r>
              <w:rPr>
                <w:rFonts w:hint="eastAsia"/>
                <w:color w:val="000000"/>
                <w:sz w:val="24"/>
                <w:szCs w:val="24"/>
              </w:rPr>
              <w:br w:type="textWrapping"/>
            </w:r>
            <w:r>
              <w:rPr>
                <w:rFonts w:hint="eastAsia"/>
                <w:color w:val="000000"/>
                <w:sz w:val="24"/>
                <w:szCs w:val="24"/>
              </w:rPr>
              <w:t>6、★基于勒索病毒攻击过程，建立多维度立体防护机制，提供事前入侵防御-事中反加密-事后检测响应的完整防护体系，展示勒索病毒处置情况；（需提供产品</w:t>
            </w:r>
            <w:r>
              <w:rPr>
                <w:rFonts w:hint="eastAsia"/>
                <w:color w:val="000000"/>
                <w:sz w:val="24"/>
                <w:szCs w:val="24"/>
                <w:lang w:val="en-US" w:eastAsia="zh-CN"/>
              </w:rPr>
              <w:t>功能</w:t>
            </w:r>
            <w:r>
              <w:rPr>
                <w:rFonts w:hint="eastAsia"/>
                <w:color w:val="000000"/>
                <w:sz w:val="24"/>
                <w:szCs w:val="24"/>
              </w:rPr>
              <w:t>截图）</w:t>
            </w:r>
            <w:r>
              <w:rPr>
                <w:rFonts w:hint="eastAsia"/>
                <w:color w:val="000000"/>
                <w:sz w:val="24"/>
                <w:szCs w:val="24"/>
              </w:rPr>
              <w:br w:type="textWrapping"/>
            </w:r>
            <w:r>
              <w:rPr>
                <w:rFonts w:hint="eastAsia"/>
                <w:color w:val="000000"/>
                <w:sz w:val="24"/>
                <w:szCs w:val="24"/>
              </w:rPr>
              <w:t>7、★支持客户端的错峰升级或灰度升级，可根据实际情况控制客户端同时升级的最大数量，避免大量终端程序同时更新造成网络拥堵或I/O风暴；（需提供产品</w:t>
            </w:r>
            <w:r>
              <w:rPr>
                <w:rFonts w:hint="eastAsia"/>
                <w:color w:val="000000"/>
                <w:sz w:val="24"/>
                <w:szCs w:val="24"/>
                <w:lang w:val="en-US" w:eastAsia="zh-CN"/>
              </w:rPr>
              <w:t>功能</w:t>
            </w:r>
            <w:r>
              <w:rPr>
                <w:rFonts w:hint="eastAsia"/>
                <w:color w:val="000000"/>
                <w:sz w:val="24"/>
                <w:szCs w:val="24"/>
              </w:rPr>
              <w:t>截图）</w:t>
            </w:r>
            <w:r>
              <w:rPr>
                <w:rFonts w:hint="eastAsia"/>
                <w:color w:val="000000"/>
                <w:sz w:val="24"/>
                <w:szCs w:val="24"/>
              </w:rPr>
              <w:br w:type="textWrapping"/>
            </w:r>
            <w:r>
              <w:rPr>
                <w:rFonts w:hint="eastAsia"/>
                <w:color w:val="000000"/>
                <w:sz w:val="24"/>
                <w:szCs w:val="24"/>
              </w:rPr>
              <w:t>8、包含三年软件产品维护升级服务。</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套</w:t>
            </w:r>
          </w:p>
        </w:tc>
        <w:tc>
          <w:tcPr>
            <w:tcW w:w="1590" w:type="dxa"/>
            <w:noWrap w:val="0"/>
            <w:vAlign w:val="center"/>
          </w:tcPr>
          <w:p>
            <w:pPr>
              <w:widowControl/>
              <w:jc w:val="left"/>
              <w:rPr>
                <w:rFonts w:hint="eastAsia" w:ascii="宋体" w:cs="宋体"/>
                <w:color w:val="000000"/>
                <w:kern w:val="0"/>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2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防病毒系统</w:t>
            </w:r>
            <w:r>
              <w:rPr>
                <w:rFonts w:hint="eastAsia" w:ascii="宋体" w:cs="宋体"/>
                <w:color w:val="000000"/>
                <w:kern w:val="0"/>
                <w:sz w:val="24"/>
                <w:szCs w:val="24"/>
                <w:lang w:bidi="ar-SA"/>
              </w:rPr>
              <w:br w:type="textWrapping"/>
            </w:r>
            <w:r>
              <w:rPr>
                <w:rFonts w:hint="eastAsia" w:ascii="宋体" w:cs="宋体"/>
                <w:color w:val="000000"/>
                <w:kern w:val="0"/>
                <w:sz w:val="24"/>
                <w:szCs w:val="24"/>
                <w:lang w:bidi="ar-SA"/>
              </w:rPr>
              <w:t>（互联网区）</w:t>
            </w:r>
          </w:p>
        </w:tc>
        <w:tc>
          <w:tcPr>
            <w:tcW w:w="5413" w:type="dxa"/>
            <w:noWrap w:val="0"/>
            <w:vAlign w:val="center"/>
          </w:tcPr>
          <w:p>
            <w:pPr>
              <w:widowControl/>
              <w:jc w:val="left"/>
              <w:rPr>
                <w:rFonts w:hint="eastAsia" w:ascii="宋体" w:cs="宋体"/>
                <w:color w:val="000000"/>
                <w:kern w:val="0"/>
                <w:sz w:val="24"/>
                <w:szCs w:val="24"/>
                <w:lang w:bidi="ar-SA"/>
              </w:rPr>
            </w:pPr>
            <w:r>
              <w:rPr>
                <w:rFonts w:hint="eastAsia"/>
                <w:color w:val="000000"/>
                <w:sz w:val="24"/>
                <w:szCs w:val="24"/>
              </w:rPr>
              <w:t>1、采用B/S架构管理端，具备设备分组管理、策略制定下发、全网健康状况监测、统一杀毒、统一漏洞修复、网络流量管理、终端软件管理、硬件资产管理以及各种报表和查询等功能，提供200个终端授权；</w:t>
            </w:r>
            <w:r>
              <w:rPr>
                <w:rFonts w:hint="eastAsia"/>
                <w:color w:val="000000"/>
                <w:sz w:val="24"/>
                <w:szCs w:val="24"/>
              </w:rPr>
              <w:br w:type="textWrapping"/>
            </w:r>
            <w:r>
              <w:rPr>
                <w:rFonts w:hint="eastAsia"/>
                <w:color w:val="000000"/>
                <w:sz w:val="24"/>
                <w:szCs w:val="24"/>
              </w:rPr>
              <w:t>2、提供支持终端保护密码，设置密码后，终端退出或卸载杀毒、或安装控制中心，都需要输入正确的密码方可执行；</w:t>
            </w:r>
            <w:r>
              <w:rPr>
                <w:rFonts w:hint="eastAsia"/>
                <w:color w:val="000000"/>
                <w:sz w:val="24"/>
                <w:szCs w:val="24"/>
              </w:rPr>
              <w:br w:type="textWrapping"/>
            </w:r>
            <w:r>
              <w:rPr>
                <w:rFonts w:hint="eastAsia"/>
                <w:color w:val="000000"/>
                <w:sz w:val="24"/>
                <w:szCs w:val="24"/>
              </w:rPr>
              <w:t>3、提供支持文件、引导区、内存、注册表、服务、进程、进出文件、目录、压缩文件、网页等恶意代码、恶意样本查杀；</w:t>
            </w:r>
            <w:r>
              <w:rPr>
                <w:rFonts w:hint="eastAsia"/>
                <w:color w:val="000000"/>
                <w:sz w:val="24"/>
                <w:szCs w:val="24"/>
              </w:rPr>
              <w:br w:type="textWrapping"/>
            </w:r>
            <w:r>
              <w:rPr>
                <w:rFonts w:hint="eastAsia"/>
                <w:color w:val="000000"/>
                <w:sz w:val="24"/>
                <w:szCs w:val="24"/>
              </w:rPr>
              <w:t>4、提供支持文件解压缩病毒查杀，支持对zip、rar、7z等多种格式的压缩文件查杀能力，可对压缩包层级设置以节省终端计算资源；</w:t>
            </w:r>
            <w:r>
              <w:rPr>
                <w:rFonts w:hint="eastAsia"/>
                <w:color w:val="000000"/>
                <w:sz w:val="24"/>
                <w:szCs w:val="24"/>
              </w:rPr>
              <w:br w:type="textWrapping"/>
            </w:r>
            <w:r>
              <w:rPr>
                <w:rFonts w:hint="eastAsia"/>
                <w:color w:val="000000"/>
                <w:sz w:val="24"/>
                <w:szCs w:val="24"/>
              </w:rPr>
              <w:t>5、病毒检测清除能力，构建全网文件信誉库，当一台终端发现某一病毒文件，全网可进行感知并进行针对性查杀，支持处置病毒时选择是否在其它终端上同步处置 ；</w:t>
            </w:r>
            <w:r>
              <w:rPr>
                <w:rFonts w:hint="eastAsia"/>
                <w:color w:val="000000"/>
                <w:sz w:val="24"/>
                <w:szCs w:val="24"/>
              </w:rPr>
              <w:br w:type="textWrapping"/>
            </w:r>
            <w:r>
              <w:rPr>
                <w:rFonts w:hint="eastAsia"/>
                <w:color w:val="000000"/>
                <w:sz w:val="24"/>
                <w:szCs w:val="24"/>
              </w:rPr>
              <w:t>6、★基于勒索病毒攻击过程，建立多维度立体防护机制，提供事前入侵防御-事中反加密-事后检测响应的完整防护体系，展示勒索病毒处置情况；（需提供产品</w:t>
            </w:r>
            <w:r>
              <w:rPr>
                <w:rFonts w:hint="eastAsia"/>
                <w:color w:val="000000"/>
                <w:sz w:val="24"/>
                <w:szCs w:val="24"/>
                <w:lang w:val="en-US" w:eastAsia="zh-CN"/>
              </w:rPr>
              <w:t>功能</w:t>
            </w:r>
            <w:r>
              <w:rPr>
                <w:rFonts w:hint="eastAsia"/>
                <w:color w:val="000000"/>
                <w:sz w:val="24"/>
                <w:szCs w:val="24"/>
              </w:rPr>
              <w:t>截图）</w:t>
            </w:r>
            <w:r>
              <w:rPr>
                <w:rFonts w:hint="eastAsia"/>
                <w:color w:val="000000"/>
                <w:sz w:val="24"/>
                <w:szCs w:val="24"/>
              </w:rPr>
              <w:br w:type="textWrapping"/>
            </w:r>
            <w:r>
              <w:rPr>
                <w:rFonts w:hint="eastAsia"/>
                <w:color w:val="000000"/>
                <w:sz w:val="24"/>
                <w:szCs w:val="24"/>
              </w:rPr>
              <w:t>7、★支持客户端的错峰升级或灰度升级，可根据实际情况控制客户端同时升级的最大数量，避免大量终端程序同时更新造成网络拥堵或I/O风暴；（需提供产品</w:t>
            </w:r>
            <w:r>
              <w:rPr>
                <w:rFonts w:hint="eastAsia"/>
                <w:color w:val="000000"/>
                <w:sz w:val="24"/>
                <w:szCs w:val="24"/>
                <w:lang w:val="en-US" w:eastAsia="zh-CN"/>
              </w:rPr>
              <w:t>功能</w:t>
            </w:r>
            <w:r>
              <w:rPr>
                <w:rFonts w:hint="eastAsia"/>
                <w:color w:val="000000"/>
                <w:sz w:val="24"/>
                <w:szCs w:val="24"/>
              </w:rPr>
              <w:t>截图）</w:t>
            </w:r>
            <w:r>
              <w:rPr>
                <w:rFonts w:hint="eastAsia"/>
                <w:color w:val="000000"/>
                <w:sz w:val="24"/>
                <w:szCs w:val="24"/>
              </w:rPr>
              <w:br w:type="textWrapping"/>
            </w:r>
            <w:r>
              <w:rPr>
                <w:rFonts w:hint="eastAsia"/>
                <w:color w:val="000000"/>
                <w:sz w:val="24"/>
                <w:szCs w:val="24"/>
              </w:rPr>
              <w:t>8、包含三年软件产品维护升级服务。</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套</w:t>
            </w:r>
          </w:p>
        </w:tc>
        <w:tc>
          <w:tcPr>
            <w:tcW w:w="1590" w:type="dxa"/>
            <w:noWrap w:val="0"/>
            <w:vAlign w:val="center"/>
          </w:tcPr>
          <w:p>
            <w:pPr>
              <w:widowControl/>
              <w:jc w:val="left"/>
              <w:rPr>
                <w:rFonts w:hint="eastAsia" w:ascii="宋体" w:cs="宋体"/>
                <w:color w:val="000000"/>
                <w:kern w:val="0"/>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3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安全运维审计系统</w:t>
            </w:r>
            <w:r>
              <w:rPr>
                <w:rFonts w:hint="eastAsia" w:ascii="宋体" w:cs="宋体"/>
                <w:color w:val="000000"/>
                <w:kern w:val="0"/>
                <w:sz w:val="24"/>
                <w:szCs w:val="24"/>
                <w:lang w:bidi="ar-SA"/>
              </w:rPr>
              <w:br w:type="textWrapping"/>
            </w:r>
            <w:r>
              <w:rPr>
                <w:rFonts w:hint="eastAsia" w:ascii="宋体" w:cs="宋体"/>
                <w:color w:val="000000"/>
                <w:kern w:val="0"/>
                <w:sz w:val="24"/>
                <w:szCs w:val="24"/>
                <w:lang w:bidi="ar-SA"/>
              </w:rPr>
              <w:t>（政务外网区）</w:t>
            </w:r>
          </w:p>
        </w:tc>
        <w:tc>
          <w:tcPr>
            <w:tcW w:w="5413" w:type="dxa"/>
            <w:noWrap w:val="0"/>
            <w:vAlign w:val="center"/>
          </w:tcPr>
          <w:p>
            <w:pPr>
              <w:widowControl/>
              <w:jc w:val="left"/>
              <w:rPr>
                <w:rFonts w:hint="eastAsia" w:ascii="宋体" w:cs="宋体"/>
                <w:color w:val="000000"/>
                <w:kern w:val="0"/>
                <w:sz w:val="24"/>
                <w:szCs w:val="24"/>
                <w:lang w:bidi="ar-SA"/>
              </w:rPr>
            </w:pPr>
            <w:r>
              <w:rPr>
                <w:rFonts w:hint="eastAsia"/>
                <w:color w:val="000000"/>
                <w:sz w:val="24"/>
                <w:szCs w:val="24"/>
              </w:rPr>
              <w:t>1、支持账号集中管理：对特权账号从创建、授权、发布、使用、冻结、解冻及回收等一系列生命周期的管理以及用户集中管理灵活快速查询机制，最大支持150路图形会话或400路字符会话并发，包含100个被管资源数授权许可；</w:t>
            </w:r>
            <w:r>
              <w:rPr>
                <w:rFonts w:hint="eastAsia"/>
                <w:color w:val="000000"/>
                <w:sz w:val="24"/>
                <w:szCs w:val="24"/>
              </w:rPr>
              <w:br w:type="textWrapping"/>
            </w:r>
            <w:r>
              <w:rPr>
                <w:rFonts w:hint="eastAsia"/>
                <w:color w:val="000000"/>
                <w:sz w:val="24"/>
                <w:szCs w:val="24"/>
              </w:rPr>
              <w:t>2、支持对主机、网络设备、安全设备等资产的运维账号和密码批量导入后通过平台进行远程运维；</w:t>
            </w:r>
            <w:r>
              <w:rPr>
                <w:rFonts w:hint="eastAsia"/>
                <w:color w:val="000000"/>
                <w:sz w:val="24"/>
                <w:szCs w:val="24"/>
              </w:rPr>
              <w:br w:type="textWrapping"/>
            </w:r>
            <w:r>
              <w:rPr>
                <w:rFonts w:hint="eastAsia"/>
                <w:color w:val="000000"/>
                <w:sz w:val="24"/>
                <w:szCs w:val="24"/>
              </w:rPr>
              <w:t>3、支持向导式资源接入，主机进行到静态和动态账号接管，通过平台实现对账号的主动同步、密码的推送；</w:t>
            </w:r>
            <w:r>
              <w:rPr>
                <w:rFonts w:hint="eastAsia"/>
                <w:color w:val="000000"/>
                <w:sz w:val="24"/>
                <w:szCs w:val="24"/>
              </w:rPr>
              <w:br w:type="textWrapping"/>
            </w:r>
            <w:r>
              <w:rPr>
                <w:rFonts w:hint="eastAsia"/>
                <w:color w:val="000000"/>
                <w:sz w:val="24"/>
                <w:szCs w:val="24"/>
              </w:rPr>
              <w:t>4、支持运维方式RDP、SSH、VNC等协议配置，也支持客户端运维工具动态配置、发布；</w:t>
            </w:r>
            <w:r>
              <w:rPr>
                <w:rFonts w:hint="eastAsia"/>
                <w:color w:val="000000"/>
                <w:sz w:val="24"/>
                <w:szCs w:val="24"/>
              </w:rPr>
              <w:br w:type="textWrapping"/>
            </w:r>
            <w:r>
              <w:rPr>
                <w:rFonts w:hint="eastAsia"/>
                <w:color w:val="000000"/>
                <w:sz w:val="24"/>
                <w:szCs w:val="24"/>
              </w:rPr>
              <w:t>5、支持对资产账号密码策略管理，可手动定义，密码定期验证策略，保证密码一致性，一次性密码策略；</w:t>
            </w:r>
            <w:r>
              <w:rPr>
                <w:rFonts w:hint="eastAsia"/>
                <w:color w:val="000000"/>
                <w:sz w:val="24"/>
                <w:szCs w:val="24"/>
              </w:rPr>
              <w:br w:type="textWrapping"/>
            </w:r>
            <w:r>
              <w:rPr>
                <w:rFonts w:hint="eastAsia"/>
                <w:color w:val="000000"/>
                <w:sz w:val="24"/>
                <w:szCs w:val="24"/>
              </w:rPr>
              <w:t>6、平台实现对角色授权、访问控制授权，使用人员信息与角色、访问源进行对应绑定，确保账号操作安全；</w:t>
            </w:r>
            <w:r>
              <w:rPr>
                <w:rFonts w:hint="eastAsia"/>
                <w:color w:val="000000"/>
                <w:sz w:val="24"/>
                <w:szCs w:val="24"/>
              </w:rPr>
              <w:br w:type="textWrapping"/>
            </w:r>
            <w:r>
              <w:rPr>
                <w:rFonts w:hint="eastAsia"/>
                <w:color w:val="000000"/>
                <w:sz w:val="24"/>
                <w:szCs w:val="24"/>
              </w:rPr>
              <w:t>7、支持对账号使用、运维操作录像、用户登录受管系统后的所有行为，系统都可进行操作日志记录和屏幕录像。并支持操作回放，平台提供审计信息溯源查询；</w:t>
            </w:r>
            <w:r>
              <w:rPr>
                <w:rFonts w:hint="eastAsia"/>
                <w:color w:val="000000"/>
                <w:sz w:val="24"/>
                <w:szCs w:val="24"/>
              </w:rPr>
              <w:br w:type="textWrapping"/>
            </w:r>
            <w:r>
              <w:rPr>
                <w:rFonts w:hint="eastAsia"/>
                <w:color w:val="000000"/>
                <w:sz w:val="24"/>
                <w:szCs w:val="24"/>
              </w:rPr>
              <w:t>8、支持资源运维凭证临时申请，审批通过后授予临时凭证，申请试用到期后，系统自动回收销毁凭证，管理员可动态对凭证进行终止回收；</w:t>
            </w:r>
            <w:r>
              <w:rPr>
                <w:rFonts w:hint="eastAsia"/>
                <w:color w:val="000000"/>
                <w:sz w:val="24"/>
                <w:szCs w:val="24"/>
              </w:rPr>
              <w:br w:type="textWrapping"/>
            </w:r>
            <w:r>
              <w:rPr>
                <w:rFonts w:hint="eastAsia"/>
                <w:color w:val="000000"/>
                <w:sz w:val="24"/>
                <w:szCs w:val="24"/>
              </w:rPr>
              <w:t>9、★支持命令审批规则，用户执行高危命令时需要管理员审批后才允许执行；命令审批规则可以指定运维人员、访问设备、设备账号及命令审批人；（提供产品功能截图）</w:t>
            </w:r>
            <w:r>
              <w:rPr>
                <w:rFonts w:hint="eastAsia"/>
                <w:color w:val="000000"/>
                <w:sz w:val="24"/>
                <w:szCs w:val="24"/>
              </w:rPr>
              <w:br w:type="textWrapping"/>
            </w:r>
            <w:r>
              <w:rPr>
                <w:rFonts w:hint="eastAsia"/>
                <w:color w:val="000000"/>
                <w:sz w:val="24"/>
                <w:szCs w:val="24"/>
              </w:rPr>
              <w:t>10、★支持自定义紧急运维流程开启或关闭，紧急运维开启时，运维人员可通过紧急运维流程直接访问目标设备，系统记录为紧急运维工单，审批人员可在事后查看或审批；（提供产品功能截图）</w:t>
            </w:r>
            <w:r>
              <w:rPr>
                <w:rFonts w:hint="eastAsia"/>
                <w:color w:val="000000"/>
                <w:sz w:val="24"/>
                <w:szCs w:val="24"/>
              </w:rPr>
              <w:br w:type="textWrapping"/>
            </w:r>
            <w:r>
              <w:rPr>
                <w:rFonts w:hint="eastAsia"/>
                <w:color w:val="000000"/>
                <w:sz w:val="24"/>
                <w:szCs w:val="24"/>
              </w:rPr>
              <w:t>11、三年软件产品维护升级服务。</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套</w:t>
            </w:r>
          </w:p>
        </w:tc>
        <w:tc>
          <w:tcPr>
            <w:tcW w:w="1590" w:type="dxa"/>
            <w:noWrap w:val="0"/>
            <w:vAlign w:val="center"/>
          </w:tcPr>
          <w:p>
            <w:pPr>
              <w:widowControl/>
              <w:jc w:val="left"/>
              <w:rPr>
                <w:rFonts w:hint="eastAsia" w:ascii="宋体" w:cs="宋体"/>
                <w:color w:val="000000"/>
                <w:kern w:val="0"/>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4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安全运维审计系统</w:t>
            </w:r>
            <w:r>
              <w:rPr>
                <w:rFonts w:hint="eastAsia" w:ascii="宋体" w:cs="宋体"/>
                <w:color w:val="000000"/>
                <w:kern w:val="0"/>
                <w:sz w:val="24"/>
                <w:szCs w:val="24"/>
                <w:lang w:bidi="ar-SA"/>
              </w:rPr>
              <w:br w:type="textWrapping"/>
            </w:r>
            <w:r>
              <w:rPr>
                <w:rFonts w:hint="eastAsia" w:ascii="宋体" w:cs="宋体"/>
                <w:color w:val="000000"/>
                <w:kern w:val="0"/>
                <w:sz w:val="24"/>
                <w:szCs w:val="24"/>
                <w:lang w:bidi="ar-SA"/>
              </w:rPr>
              <w:t>（互联网区）</w:t>
            </w:r>
          </w:p>
        </w:tc>
        <w:tc>
          <w:tcPr>
            <w:tcW w:w="5413" w:type="dxa"/>
            <w:noWrap w:val="0"/>
            <w:vAlign w:val="center"/>
          </w:tcPr>
          <w:p>
            <w:pPr>
              <w:widowControl/>
              <w:jc w:val="left"/>
              <w:rPr>
                <w:rFonts w:hint="eastAsia" w:ascii="宋体" w:cs="宋体"/>
                <w:color w:val="000000"/>
                <w:kern w:val="0"/>
                <w:sz w:val="24"/>
                <w:szCs w:val="24"/>
                <w:lang w:bidi="ar-SA"/>
              </w:rPr>
            </w:pPr>
            <w:r>
              <w:rPr>
                <w:rFonts w:hint="eastAsia"/>
                <w:color w:val="000000"/>
                <w:sz w:val="24"/>
                <w:szCs w:val="24"/>
              </w:rPr>
              <w:t>1、支持账号集中管理：对特权账号从创建、授权、发布、使用、冻结、解冻及回收等一系列生命周期的管理以及用户集中管理灵活快速查询机制，最大支持150路图形会话或400路字符会话并发，包含100个被管资源数授权许可；</w:t>
            </w:r>
            <w:r>
              <w:rPr>
                <w:rFonts w:hint="eastAsia"/>
                <w:color w:val="000000"/>
                <w:sz w:val="24"/>
                <w:szCs w:val="24"/>
              </w:rPr>
              <w:br w:type="textWrapping"/>
            </w:r>
            <w:r>
              <w:rPr>
                <w:rFonts w:hint="eastAsia"/>
                <w:color w:val="000000"/>
                <w:sz w:val="24"/>
                <w:szCs w:val="24"/>
              </w:rPr>
              <w:t>2、支持对主机、网络设备、安全设备等资产的运维账号和密码批量导入后通过平台进行远程运维；</w:t>
            </w:r>
            <w:r>
              <w:rPr>
                <w:rFonts w:hint="eastAsia"/>
                <w:color w:val="000000"/>
                <w:sz w:val="24"/>
                <w:szCs w:val="24"/>
              </w:rPr>
              <w:br w:type="textWrapping"/>
            </w:r>
            <w:r>
              <w:rPr>
                <w:rFonts w:hint="eastAsia"/>
                <w:color w:val="000000"/>
                <w:sz w:val="24"/>
                <w:szCs w:val="24"/>
              </w:rPr>
              <w:t>3、支持向导式资源接入，主机进行到静态和动态账号接管，通过平台实现对账号的主动同步、密码的推送；</w:t>
            </w:r>
            <w:r>
              <w:rPr>
                <w:rFonts w:hint="eastAsia"/>
                <w:color w:val="000000"/>
                <w:sz w:val="24"/>
                <w:szCs w:val="24"/>
              </w:rPr>
              <w:br w:type="textWrapping"/>
            </w:r>
            <w:r>
              <w:rPr>
                <w:rFonts w:hint="eastAsia"/>
                <w:color w:val="000000"/>
                <w:sz w:val="24"/>
                <w:szCs w:val="24"/>
              </w:rPr>
              <w:t>4、支持运维方式RDP、SSH、VNC等协议配置，也支持客户端运维工具动态配置、发布；</w:t>
            </w:r>
            <w:r>
              <w:rPr>
                <w:rFonts w:hint="eastAsia"/>
                <w:color w:val="000000"/>
                <w:sz w:val="24"/>
                <w:szCs w:val="24"/>
              </w:rPr>
              <w:br w:type="textWrapping"/>
            </w:r>
            <w:r>
              <w:rPr>
                <w:rFonts w:hint="eastAsia"/>
                <w:color w:val="000000"/>
                <w:sz w:val="24"/>
                <w:szCs w:val="24"/>
              </w:rPr>
              <w:t>5、支持对资产账号密码策略管理，可手动定义，密码定期验证策略，保证密码一致性，一次性密码策略；</w:t>
            </w:r>
            <w:r>
              <w:rPr>
                <w:rFonts w:hint="eastAsia"/>
                <w:color w:val="000000"/>
                <w:sz w:val="24"/>
                <w:szCs w:val="24"/>
              </w:rPr>
              <w:br w:type="textWrapping"/>
            </w:r>
            <w:r>
              <w:rPr>
                <w:rFonts w:hint="eastAsia"/>
                <w:color w:val="000000"/>
                <w:sz w:val="24"/>
                <w:szCs w:val="24"/>
              </w:rPr>
              <w:t>6、平台实现对角色授权、访问控制授权，使用人员信息与角色、访问源进行对应绑定，确保账号操作安全；</w:t>
            </w:r>
            <w:r>
              <w:rPr>
                <w:rFonts w:hint="eastAsia"/>
                <w:color w:val="000000"/>
                <w:sz w:val="24"/>
                <w:szCs w:val="24"/>
              </w:rPr>
              <w:br w:type="textWrapping"/>
            </w:r>
            <w:r>
              <w:rPr>
                <w:rFonts w:hint="eastAsia"/>
                <w:color w:val="000000"/>
                <w:sz w:val="24"/>
                <w:szCs w:val="24"/>
              </w:rPr>
              <w:t>7、支持对账号使用、运维操作录像、用户登录受管系统后的所有行为，系统都可进行操作日志记录和屏幕录像。并支持操作回放，平台提供审计信息溯源查询；</w:t>
            </w:r>
            <w:r>
              <w:rPr>
                <w:rFonts w:hint="eastAsia"/>
                <w:color w:val="000000"/>
                <w:sz w:val="24"/>
                <w:szCs w:val="24"/>
              </w:rPr>
              <w:br w:type="textWrapping"/>
            </w:r>
            <w:r>
              <w:rPr>
                <w:rFonts w:hint="eastAsia"/>
                <w:color w:val="000000"/>
                <w:sz w:val="24"/>
                <w:szCs w:val="24"/>
              </w:rPr>
              <w:t>8、支持资源运维凭证临时申请，审批通过后授予临时凭证，申请试用到期后，系统自动回收销毁凭证，管理员可动态对凭证进行终止回收；</w:t>
            </w:r>
            <w:r>
              <w:rPr>
                <w:rFonts w:hint="eastAsia"/>
                <w:color w:val="000000"/>
                <w:sz w:val="24"/>
                <w:szCs w:val="24"/>
              </w:rPr>
              <w:br w:type="textWrapping"/>
            </w:r>
            <w:r>
              <w:rPr>
                <w:rFonts w:hint="eastAsia"/>
                <w:color w:val="000000"/>
                <w:sz w:val="24"/>
                <w:szCs w:val="24"/>
              </w:rPr>
              <w:t>9、★支持命令审批规则，用户执行高危命令时需要管理员审批后才允许执行；命令审批规则可以指定运维人员、访问设备、设备账号及命令审批人；（提供产品功能截图）</w:t>
            </w:r>
            <w:r>
              <w:rPr>
                <w:rFonts w:hint="eastAsia"/>
                <w:color w:val="000000"/>
                <w:sz w:val="24"/>
                <w:szCs w:val="24"/>
              </w:rPr>
              <w:br w:type="textWrapping"/>
            </w:r>
            <w:r>
              <w:rPr>
                <w:rFonts w:hint="eastAsia"/>
                <w:color w:val="000000"/>
                <w:sz w:val="24"/>
                <w:szCs w:val="24"/>
              </w:rPr>
              <w:t>10、★支持自定义紧急运维流程开启或关闭，紧急运维开启时，运维人员可通过紧急运维流程直接访问目标设备，系统记录为紧急运维工单，审批人员可在事后查看或审批；（提供产品功能截图）</w:t>
            </w:r>
            <w:r>
              <w:rPr>
                <w:rFonts w:hint="eastAsia"/>
                <w:color w:val="000000"/>
                <w:sz w:val="24"/>
                <w:szCs w:val="24"/>
              </w:rPr>
              <w:br w:type="textWrapping"/>
            </w:r>
            <w:r>
              <w:rPr>
                <w:rFonts w:hint="eastAsia"/>
                <w:color w:val="000000"/>
                <w:sz w:val="24"/>
                <w:szCs w:val="24"/>
              </w:rPr>
              <w:t>11、三年软件产品维护升级服务。</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套</w:t>
            </w:r>
          </w:p>
        </w:tc>
        <w:tc>
          <w:tcPr>
            <w:tcW w:w="1590" w:type="dxa"/>
            <w:noWrap w:val="0"/>
            <w:vAlign w:val="center"/>
          </w:tcPr>
          <w:p>
            <w:pPr>
              <w:widowControl/>
              <w:jc w:val="left"/>
              <w:rPr>
                <w:rFonts w:hint="eastAsia" w:ascii="宋体" w:cs="宋体"/>
                <w:color w:val="000000"/>
                <w:kern w:val="0"/>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5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数据库审计系统</w:t>
            </w:r>
            <w:r>
              <w:rPr>
                <w:rFonts w:hint="eastAsia" w:ascii="宋体" w:cs="宋体"/>
                <w:color w:val="000000"/>
                <w:kern w:val="0"/>
                <w:sz w:val="24"/>
                <w:szCs w:val="24"/>
                <w:lang w:bidi="ar-SA"/>
              </w:rPr>
              <w:br w:type="textWrapping"/>
            </w:r>
            <w:r>
              <w:rPr>
                <w:rFonts w:hint="eastAsia" w:ascii="宋体" w:cs="宋体"/>
                <w:color w:val="000000"/>
                <w:kern w:val="0"/>
                <w:sz w:val="24"/>
                <w:szCs w:val="24"/>
                <w:lang w:bidi="ar-SA"/>
              </w:rPr>
              <w:t>（政务外网区）</w:t>
            </w:r>
          </w:p>
        </w:tc>
        <w:tc>
          <w:tcPr>
            <w:tcW w:w="5413" w:type="dxa"/>
            <w:noWrap w:val="0"/>
            <w:vAlign w:val="center"/>
          </w:tcPr>
          <w:p>
            <w:pPr>
              <w:widowControl/>
              <w:jc w:val="left"/>
              <w:rPr>
                <w:rFonts w:hint="eastAsia" w:ascii="宋体" w:cs="宋体"/>
                <w:color w:val="000000"/>
                <w:kern w:val="0"/>
                <w:sz w:val="24"/>
                <w:szCs w:val="24"/>
                <w:lang w:bidi="ar-SA"/>
              </w:rPr>
            </w:pPr>
            <w:r>
              <w:rPr>
                <w:rFonts w:hint="eastAsia"/>
                <w:color w:val="000000"/>
                <w:sz w:val="24"/>
                <w:szCs w:val="24"/>
              </w:rPr>
              <w:t>1、性能指标：峰值事件处理能力10000条语句/秒，日志存储最低10亿，对数据库操作行为和内容进行审计；对业务运维操作行为进行细粒度的合规性审计和管理，数据库实例数不限；</w:t>
            </w:r>
            <w:r>
              <w:rPr>
                <w:rFonts w:hint="eastAsia"/>
                <w:color w:val="000000"/>
                <w:sz w:val="24"/>
                <w:szCs w:val="24"/>
              </w:rPr>
              <w:br w:type="textWrapping"/>
            </w:r>
            <w:r>
              <w:rPr>
                <w:rFonts w:hint="eastAsia"/>
                <w:color w:val="000000"/>
                <w:sz w:val="24"/>
                <w:szCs w:val="24"/>
              </w:rPr>
              <w:t>2、支持重复操作的统计规则，一定时间内重复某项操作达到设定的统计次数，则触发审计告警；</w:t>
            </w:r>
            <w:r>
              <w:rPr>
                <w:rFonts w:hint="eastAsia"/>
                <w:color w:val="000000"/>
                <w:sz w:val="24"/>
                <w:szCs w:val="24"/>
              </w:rPr>
              <w:br w:type="textWrapping"/>
            </w:r>
            <w:r>
              <w:rPr>
                <w:rFonts w:hint="eastAsia"/>
                <w:color w:val="000000"/>
                <w:sz w:val="24"/>
                <w:szCs w:val="24"/>
              </w:rPr>
              <w:t>3、支持后关系型数据库Cache的审计；</w:t>
            </w:r>
            <w:r>
              <w:rPr>
                <w:rFonts w:hint="eastAsia"/>
                <w:color w:val="000000"/>
                <w:sz w:val="24"/>
                <w:szCs w:val="24"/>
              </w:rPr>
              <w:br w:type="textWrapping"/>
            </w:r>
            <w:r>
              <w:rPr>
                <w:rFonts w:hint="eastAsia"/>
                <w:color w:val="000000"/>
                <w:sz w:val="24"/>
                <w:szCs w:val="24"/>
              </w:rPr>
              <w:t>4、★以曲线连接多点的形式展示用户的访问来源、目标、操作的轨迹，支持轨迹定位到具体日志信息；（提供产品功能截图）</w:t>
            </w:r>
            <w:r>
              <w:rPr>
                <w:rFonts w:hint="eastAsia"/>
                <w:color w:val="000000"/>
                <w:sz w:val="24"/>
                <w:szCs w:val="24"/>
              </w:rPr>
              <w:br w:type="textWrapping"/>
            </w:r>
            <w:r>
              <w:rPr>
                <w:rFonts w:hint="eastAsia"/>
                <w:color w:val="000000"/>
                <w:sz w:val="24"/>
                <w:szCs w:val="24"/>
              </w:rPr>
              <w:t>5、支持数据库语句执行时间、语句执行回应、最大操作语句长度等作为分项响应条件；</w:t>
            </w:r>
            <w:r>
              <w:rPr>
                <w:rFonts w:hint="eastAsia"/>
                <w:color w:val="000000"/>
                <w:sz w:val="24"/>
                <w:szCs w:val="24"/>
              </w:rPr>
              <w:br w:type="textWrapping"/>
            </w:r>
            <w:r>
              <w:rPr>
                <w:rFonts w:hint="eastAsia"/>
                <w:color w:val="000000"/>
                <w:sz w:val="24"/>
                <w:szCs w:val="24"/>
              </w:rPr>
              <w:t>6、支持数据库连接工具白名单功能，自动忽略数据库连接工具访问数据库的默认操作；</w:t>
            </w:r>
            <w:r>
              <w:rPr>
                <w:rFonts w:hint="eastAsia"/>
                <w:color w:val="000000"/>
                <w:sz w:val="24"/>
                <w:szCs w:val="24"/>
              </w:rPr>
              <w:br w:type="textWrapping"/>
            </w:r>
            <w:r>
              <w:rPr>
                <w:rFonts w:hint="eastAsia"/>
                <w:color w:val="000000"/>
                <w:sz w:val="24"/>
                <w:szCs w:val="24"/>
              </w:rPr>
              <w:t>7、★内置大量SQL安全规则，包括但不限于导出方式窃取、备份方式窃取、导出可执行程序、备份方式写入恶意代码、系统命令执行、读注册表、写注册表、暴露系统信息、高权存储过程、执行本地代码等多方面；（需提供相关截图）</w:t>
            </w:r>
            <w:r>
              <w:rPr>
                <w:rFonts w:hint="eastAsia"/>
                <w:color w:val="000000"/>
                <w:sz w:val="24"/>
                <w:szCs w:val="24"/>
              </w:rPr>
              <w:br w:type="textWrapping"/>
            </w:r>
            <w:r>
              <w:rPr>
                <w:rFonts w:hint="eastAsia"/>
                <w:color w:val="000000"/>
                <w:sz w:val="24"/>
                <w:szCs w:val="24"/>
              </w:rPr>
              <w:t>8、三年软件产品维护升级服务。</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套</w:t>
            </w:r>
          </w:p>
        </w:tc>
        <w:tc>
          <w:tcPr>
            <w:tcW w:w="1590" w:type="dxa"/>
            <w:noWrap w:val="0"/>
            <w:vAlign w:val="center"/>
          </w:tcPr>
          <w:p>
            <w:pPr>
              <w:widowControl/>
              <w:jc w:val="left"/>
              <w:rPr>
                <w:rFonts w:hint="eastAsia" w:ascii="宋体" w:cs="宋体"/>
                <w:color w:val="000000"/>
                <w:kern w:val="0"/>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6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网页防篡改（互联网区）</w:t>
            </w:r>
          </w:p>
        </w:tc>
        <w:tc>
          <w:tcPr>
            <w:tcW w:w="5413" w:type="dxa"/>
            <w:noWrap w:val="0"/>
            <w:vAlign w:val="center"/>
          </w:tcPr>
          <w:p>
            <w:pPr>
              <w:widowControl/>
              <w:numPr>
                <w:ilvl w:val="0"/>
                <w:numId w:val="4"/>
              </w:numPr>
              <w:jc w:val="left"/>
              <w:rPr>
                <w:rFonts w:hint="eastAsia"/>
                <w:color w:val="000000"/>
                <w:sz w:val="24"/>
                <w:szCs w:val="24"/>
              </w:rPr>
            </w:pPr>
            <w:r>
              <w:rPr>
                <w:rFonts w:hint="eastAsia"/>
                <w:color w:val="000000"/>
                <w:sz w:val="24"/>
                <w:szCs w:val="24"/>
              </w:rPr>
              <w:t>网页防篡改系统，应用层吞吐量≥100M，并发连接数≥40000，新建连接数≥1000；</w:t>
            </w:r>
            <w:r>
              <w:rPr>
                <w:rFonts w:hint="eastAsia"/>
                <w:color w:val="000000"/>
                <w:sz w:val="24"/>
                <w:szCs w:val="24"/>
              </w:rPr>
              <w:br w:type="textWrapping"/>
            </w:r>
            <w:r>
              <w:rPr>
                <w:rFonts w:hint="eastAsia"/>
                <w:color w:val="000000"/>
                <w:sz w:val="24"/>
                <w:szCs w:val="24"/>
              </w:rPr>
              <w:t>2、网页防篡改需支持主流操作系统，支持C/S架构的防篡改客户端；</w:t>
            </w:r>
            <w:r>
              <w:rPr>
                <w:rFonts w:hint="eastAsia"/>
                <w:color w:val="000000"/>
                <w:sz w:val="24"/>
                <w:szCs w:val="24"/>
              </w:rPr>
              <w:br w:type="textWrapping"/>
            </w:r>
            <w:r>
              <w:rPr>
                <w:rFonts w:hint="eastAsia"/>
                <w:color w:val="000000"/>
                <w:sz w:val="24"/>
                <w:szCs w:val="24"/>
              </w:rPr>
              <w:t>3、支持对网页防篡改客户端和的自动探测功能；采用基于文件过滤驱动保护技术、事件触发机制相结合方式；</w:t>
            </w:r>
            <w:r>
              <w:rPr>
                <w:rFonts w:hint="eastAsia"/>
                <w:color w:val="000000"/>
                <w:sz w:val="24"/>
                <w:szCs w:val="24"/>
              </w:rPr>
              <w:br w:type="textWrapping"/>
            </w:r>
            <w:r>
              <w:rPr>
                <w:rFonts w:hint="eastAsia"/>
                <w:color w:val="000000"/>
                <w:sz w:val="24"/>
                <w:szCs w:val="24"/>
              </w:rPr>
              <w:t>4、支持参数防护，支持主动防御，学习访问服务器IP组的HTTP请求参数，总结出参数的长度范围、字符类型，自动生成过滤规则，支持自定义参数防护；</w:t>
            </w:r>
            <w:r>
              <w:rPr>
                <w:rFonts w:hint="eastAsia"/>
                <w:color w:val="000000"/>
                <w:sz w:val="24"/>
                <w:szCs w:val="24"/>
              </w:rPr>
              <w:br w:type="textWrapping"/>
            </w:r>
            <w:r>
              <w:rPr>
                <w:rFonts w:hint="eastAsia"/>
                <w:color w:val="000000"/>
                <w:sz w:val="24"/>
                <w:szCs w:val="24"/>
              </w:rPr>
              <w:t>5、支持通过主动扫描漏洞功能检测网站是否存在SQL注入、XSS、跨站脚本、目录遍历、文件包含、命令执行等脚本漏洞；</w:t>
            </w:r>
            <w:r>
              <w:rPr>
                <w:rFonts w:hint="eastAsia"/>
                <w:color w:val="000000"/>
                <w:sz w:val="24"/>
                <w:szCs w:val="24"/>
              </w:rPr>
              <w:br w:type="textWrapping"/>
            </w:r>
            <w:r>
              <w:rPr>
                <w:rFonts w:hint="eastAsia"/>
                <w:color w:val="000000"/>
                <w:sz w:val="24"/>
                <w:szCs w:val="24"/>
              </w:rPr>
              <w:t>6、产品支持系统配置自动备份功能，可通过备份文件快速恢复产品系统配置，降低管理员误操作引入的风险；</w:t>
            </w:r>
            <w:r>
              <w:rPr>
                <w:rFonts w:hint="eastAsia"/>
                <w:color w:val="000000"/>
                <w:sz w:val="24"/>
                <w:szCs w:val="24"/>
              </w:rPr>
              <w:br w:type="textWrapping"/>
            </w:r>
            <w:r>
              <w:rPr>
                <w:rFonts w:hint="eastAsia"/>
                <w:color w:val="000000"/>
                <w:sz w:val="24"/>
                <w:szCs w:val="24"/>
              </w:rPr>
              <w:t>7、支持以安全策略模板方式快速部署安全策略，安全策略模板支持默认模板和自定义模板等多种格式；</w:t>
            </w:r>
            <w:r>
              <w:rPr>
                <w:rFonts w:hint="eastAsia"/>
                <w:color w:val="000000"/>
                <w:sz w:val="24"/>
                <w:szCs w:val="24"/>
              </w:rPr>
              <w:br w:type="textWrapping"/>
            </w:r>
            <w:r>
              <w:rPr>
                <w:rFonts w:hint="eastAsia"/>
                <w:color w:val="000000"/>
                <w:sz w:val="24"/>
                <w:szCs w:val="24"/>
              </w:rPr>
              <w:t>8、★为了防范勒索软件，要求产品具备勒索软件防护能力；（需提供产品功能截图）</w:t>
            </w:r>
            <w:r>
              <w:rPr>
                <w:rFonts w:hint="default"/>
                <w:color w:val="000000"/>
                <w:sz w:val="24"/>
                <w:szCs w:val="24"/>
              </w:rPr>
              <w:t>；</w:t>
            </w:r>
          </w:p>
          <w:p>
            <w:pPr>
              <w:widowControl/>
              <w:jc w:val="left"/>
              <w:rPr>
                <w:rFonts w:hint="eastAsia" w:ascii="宋体" w:cs="宋体"/>
                <w:color w:val="000000"/>
                <w:kern w:val="0"/>
                <w:sz w:val="24"/>
                <w:szCs w:val="24"/>
                <w:lang w:bidi="ar-SA"/>
              </w:rPr>
            </w:pPr>
            <w:r>
              <w:rPr>
                <w:rFonts w:hint="eastAsia"/>
                <w:color w:val="000000"/>
                <w:sz w:val="24"/>
                <w:szCs w:val="24"/>
              </w:rPr>
              <w:t>9、★支持通过被动扫描功能，业务系统进行黑链检测、Webshell检测、漏洞风险检测、配置风险检测、弱口令账户检测；（需提供产品功能截图）</w:t>
            </w:r>
            <w:r>
              <w:rPr>
                <w:rFonts w:hint="default"/>
                <w:color w:val="000000"/>
                <w:sz w:val="24"/>
                <w:szCs w:val="24"/>
              </w:rPr>
              <w:t>；</w:t>
            </w:r>
            <w:r>
              <w:rPr>
                <w:rFonts w:hint="eastAsia"/>
                <w:color w:val="000000"/>
                <w:sz w:val="24"/>
                <w:szCs w:val="24"/>
              </w:rPr>
              <w:br w:type="textWrapping"/>
            </w:r>
            <w:r>
              <w:rPr>
                <w:rFonts w:hint="eastAsia"/>
                <w:color w:val="000000"/>
                <w:sz w:val="24"/>
                <w:szCs w:val="24"/>
              </w:rPr>
              <w:t>10、三年软件产品维护升级服务。</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套</w:t>
            </w:r>
          </w:p>
        </w:tc>
        <w:tc>
          <w:tcPr>
            <w:tcW w:w="1590" w:type="dxa"/>
            <w:noWrap w:val="0"/>
            <w:vAlign w:val="center"/>
          </w:tcPr>
          <w:p>
            <w:pPr>
              <w:widowControl/>
              <w:jc w:val="left"/>
              <w:rPr>
                <w:rFonts w:hint="eastAsia" w:ascii="宋体" w:cs="宋体"/>
                <w:color w:val="000000"/>
                <w:kern w:val="0"/>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7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日志审计系统</w:t>
            </w:r>
            <w:r>
              <w:rPr>
                <w:rFonts w:hint="eastAsia" w:ascii="宋体" w:cs="宋体"/>
                <w:color w:val="000000"/>
                <w:kern w:val="0"/>
                <w:sz w:val="24"/>
                <w:szCs w:val="24"/>
                <w:lang w:bidi="ar-SA"/>
              </w:rPr>
              <w:br w:type="textWrapping"/>
            </w:r>
            <w:r>
              <w:rPr>
                <w:rFonts w:hint="eastAsia" w:ascii="宋体" w:cs="宋体"/>
                <w:color w:val="000000"/>
                <w:kern w:val="0"/>
                <w:sz w:val="24"/>
                <w:szCs w:val="24"/>
                <w:lang w:bidi="ar-SA"/>
              </w:rPr>
              <w:t>（电子政务外网区）</w:t>
            </w:r>
          </w:p>
        </w:tc>
        <w:tc>
          <w:tcPr>
            <w:tcW w:w="5413" w:type="dxa"/>
            <w:noWrap w:val="0"/>
            <w:vAlign w:val="center"/>
          </w:tcPr>
          <w:p>
            <w:pPr>
              <w:widowControl/>
              <w:jc w:val="left"/>
              <w:rPr>
                <w:rFonts w:hint="eastAsia" w:ascii="宋体" w:cs="宋体"/>
                <w:color w:val="000000"/>
                <w:kern w:val="0"/>
                <w:sz w:val="24"/>
                <w:szCs w:val="24"/>
                <w:lang w:bidi="ar-SA"/>
              </w:rPr>
            </w:pPr>
            <w:r>
              <w:rPr>
                <w:rFonts w:hint="eastAsia"/>
                <w:color w:val="000000"/>
                <w:sz w:val="24"/>
                <w:szCs w:val="24"/>
              </w:rPr>
              <w:t>1、审计资源授权≥20个；</w:t>
            </w:r>
            <w:r>
              <w:rPr>
                <w:rFonts w:hint="eastAsia"/>
                <w:color w:val="000000"/>
                <w:sz w:val="24"/>
                <w:szCs w:val="24"/>
              </w:rPr>
              <w:br w:type="textWrapping"/>
            </w:r>
            <w:r>
              <w:rPr>
                <w:rFonts w:hint="eastAsia"/>
                <w:color w:val="000000"/>
                <w:sz w:val="24"/>
                <w:szCs w:val="24"/>
              </w:rPr>
              <w:t>2、系统支持对各类网络设备、安全设备、主机操作系统、数据库、应用系统等日志、事件、告警等安全信息进行全面的审计；</w:t>
            </w:r>
            <w:r>
              <w:rPr>
                <w:rFonts w:hint="eastAsia"/>
                <w:color w:val="000000"/>
                <w:sz w:val="24"/>
                <w:szCs w:val="24"/>
              </w:rPr>
              <w:br w:type="textWrapping"/>
            </w:r>
            <w:r>
              <w:rPr>
                <w:rFonts w:hint="eastAsia"/>
                <w:color w:val="000000"/>
                <w:sz w:val="24"/>
                <w:szCs w:val="24"/>
              </w:rPr>
              <w:t>3、系统可通过事件调查工具对日志中的源IP地址、目的IP地址、或者目的端口进行相关性日志检索；</w:t>
            </w:r>
            <w:r>
              <w:rPr>
                <w:rFonts w:hint="eastAsia"/>
                <w:color w:val="000000"/>
                <w:sz w:val="24"/>
                <w:szCs w:val="24"/>
              </w:rPr>
              <w:br w:type="textWrapping"/>
            </w:r>
            <w:r>
              <w:rPr>
                <w:rFonts w:hint="eastAsia"/>
                <w:color w:val="000000"/>
                <w:sz w:val="24"/>
                <w:szCs w:val="24"/>
              </w:rPr>
              <w:t>4、系统可针对设备地址、源地址、目标地址等进行事件数量、流量等的趋势分析；</w:t>
            </w:r>
            <w:r>
              <w:rPr>
                <w:rFonts w:hint="eastAsia"/>
                <w:color w:val="000000"/>
                <w:sz w:val="24"/>
                <w:szCs w:val="24"/>
              </w:rPr>
              <w:br w:type="textWrapping"/>
            </w:r>
            <w:r>
              <w:rPr>
                <w:rFonts w:hint="eastAsia"/>
                <w:color w:val="000000"/>
                <w:sz w:val="24"/>
                <w:szCs w:val="24"/>
              </w:rPr>
              <w:t>5、系统可对事件名称、源地址、源端口、目的地址、目的端口相同的进行归并，条件可以多种组合；</w:t>
            </w:r>
            <w:r>
              <w:rPr>
                <w:rFonts w:hint="eastAsia"/>
                <w:color w:val="000000"/>
                <w:sz w:val="24"/>
                <w:szCs w:val="24"/>
              </w:rPr>
              <w:br w:type="textWrapping"/>
            </w:r>
            <w:r>
              <w:rPr>
                <w:rFonts w:hint="eastAsia"/>
                <w:color w:val="000000"/>
                <w:sz w:val="24"/>
                <w:szCs w:val="24"/>
              </w:rPr>
              <w:t>6、系统支持事件追溯，对于关联告警事件，用户可以进行追溯，查看导致该关联事件的所有原始事件；</w:t>
            </w:r>
            <w:r>
              <w:rPr>
                <w:rFonts w:hint="eastAsia"/>
                <w:color w:val="000000"/>
                <w:sz w:val="24"/>
                <w:szCs w:val="24"/>
              </w:rPr>
              <w:br w:type="textWrapping"/>
            </w:r>
            <w:r>
              <w:rPr>
                <w:rFonts w:hint="eastAsia"/>
                <w:color w:val="000000"/>
                <w:sz w:val="24"/>
                <w:szCs w:val="24"/>
              </w:rPr>
              <w:t>7、★支持通过正则、分隔符、json、xml的可视方式进行自定义规则解析，支持对解析结果字段的新增、合并、映射；（需提供相关截图）</w:t>
            </w:r>
            <w:r>
              <w:rPr>
                <w:rFonts w:hint="eastAsia"/>
                <w:color w:val="000000"/>
                <w:sz w:val="24"/>
                <w:szCs w:val="24"/>
              </w:rPr>
              <w:br w:type="textWrapping"/>
            </w:r>
            <w:r>
              <w:rPr>
                <w:rFonts w:hint="eastAsia"/>
                <w:color w:val="000000"/>
                <w:sz w:val="24"/>
                <w:szCs w:val="24"/>
              </w:rPr>
              <w:t>8、支持单条事件进行展开，显示事件详细信息和事件原始信息，支持事件详情中任意字段作为查询条件无限制进行二次检索分析；</w:t>
            </w:r>
            <w:r>
              <w:rPr>
                <w:rFonts w:hint="eastAsia"/>
                <w:color w:val="000000"/>
                <w:sz w:val="24"/>
                <w:szCs w:val="24"/>
              </w:rPr>
              <w:br w:type="textWrapping"/>
            </w:r>
            <w:r>
              <w:rPr>
                <w:rFonts w:hint="eastAsia"/>
                <w:color w:val="000000"/>
                <w:sz w:val="24"/>
                <w:szCs w:val="24"/>
              </w:rPr>
              <w:t>9、支持解码小工具，按照不同的解码方式解码成不同的目标内容，编码格式包括base64、Unicode、GBK、HEX、UTF-8等；</w:t>
            </w:r>
            <w:r>
              <w:rPr>
                <w:rFonts w:hint="eastAsia"/>
                <w:color w:val="000000"/>
                <w:sz w:val="24"/>
                <w:szCs w:val="24"/>
              </w:rPr>
              <w:br w:type="textWrapping"/>
            </w:r>
            <w:r>
              <w:rPr>
                <w:rFonts w:hint="eastAsia"/>
                <w:color w:val="000000"/>
                <w:sz w:val="24"/>
                <w:szCs w:val="24"/>
              </w:rPr>
              <w:t>10、★支持对每个日志源设置过滤条件规则，自动过滤无用日志，满足根据实际业务需求减少采集对象发送到核心服务器的安全事件数，减少对网络带宽和数据库存储空间的占用；（需提供相关截图）</w:t>
            </w:r>
            <w:r>
              <w:rPr>
                <w:rFonts w:hint="eastAsia"/>
                <w:color w:val="000000"/>
                <w:sz w:val="24"/>
                <w:szCs w:val="24"/>
              </w:rPr>
              <w:br w:type="textWrapping"/>
            </w:r>
            <w:r>
              <w:rPr>
                <w:rFonts w:hint="eastAsia"/>
                <w:color w:val="000000"/>
                <w:sz w:val="24"/>
                <w:szCs w:val="24"/>
              </w:rPr>
              <w:t>11、三年软件产品维护升级服务。</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套</w:t>
            </w:r>
          </w:p>
        </w:tc>
        <w:tc>
          <w:tcPr>
            <w:tcW w:w="1590" w:type="dxa"/>
            <w:noWrap w:val="0"/>
            <w:vAlign w:val="center"/>
          </w:tcPr>
          <w:p>
            <w:pPr>
              <w:widowControl/>
              <w:jc w:val="left"/>
              <w:rPr>
                <w:rFonts w:hint="eastAsia" w:ascii="宋体" w:cs="宋体"/>
                <w:color w:val="000000"/>
                <w:kern w:val="0"/>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8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日志审计系统</w:t>
            </w:r>
            <w:r>
              <w:rPr>
                <w:rFonts w:hint="eastAsia" w:ascii="宋体" w:cs="宋体"/>
                <w:color w:val="000000"/>
                <w:kern w:val="0"/>
                <w:sz w:val="24"/>
                <w:szCs w:val="24"/>
                <w:lang w:bidi="ar-SA"/>
              </w:rPr>
              <w:br w:type="textWrapping"/>
            </w:r>
            <w:r>
              <w:rPr>
                <w:rFonts w:hint="eastAsia" w:ascii="宋体" w:cs="宋体"/>
                <w:color w:val="000000"/>
                <w:kern w:val="0"/>
                <w:sz w:val="24"/>
                <w:szCs w:val="24"/>
                <w:lang w:bidi="ar-SA"/>
              </w:rPr>
              <w:t>（互联网区）</w:t>
            </w:r>
          </w:p>
        </w:tc>
        <w:tc>
          <w:tcPr>
            <w:tcW w:w="5413" w:type="dxa"/>
            <w:noWrap w:val="0"/>
            <w:vAlign w:val="center"/>
          </w:tcPr>
          <w:p>
            <w:pPr>
              <w:widowControl/>
              <w:jc w:val="left"/>
              <w:rPr>
                <w:rFonts w:hint="eastAsia" w:ascii="宋体" w:cs="宋体"/>
                <w:color w:val="000000"/>
                <w:kern w:val="0"/>
                <w:sz w:val="24"/>
                <w:szCs w:val="24"/>
                <w:lang w:bidi="ar-SA"/>
              </w:rPr>
            </w:pPr>
            <w:r>
              <w:rPr>
                <w:rFonts w:hint="eastAsia"/>
                <w:color w:val="000000"/>
                <w:sz w:val="24"/>
                <w:szCs w:val="24"/>
              </w:rPr>
              <w:t>1、审计资源授权≥20个；</w:t>
            </w:r>
            <w:r>
              <w:rPr>
                <w:rFonts w:hint="eastAsia"/>
                <w:color w:val="000000"/>
                <w:sz w:val="24"/>
                <w:szCs w:val="24"/>
              </w:rPr>
              <w:br w:type="textWrapping"/>
            </w:r>
            <w:r>
              <w:rPr>
                <w:rFonts w:hint="eastAsia"/>
                <w:color w:val="000000"/>
                <w:sz w:val="24"/>
                <w:szCs w:val="24"/>
              </w:rPr>
              <w:t>2、系统支持对各类网络设备、安全设备、主机操作系统、数据库、应用系统等日志、事件、告警等安全信息进行全面的审计；</w:t>
            </w:r>
            <w:r>
              <w:rPr>
                <w:rFonts w:hint="eastAsia"/>
                <w:color w:val="000000"/>
                <w:sz w:val="24"/>
                <w:szCs w:val="24"/>
              </w:rPr>
              <w:br w:type="textWrapping"/>
            </w:r>
            <w:r>
              <w:rPr>
                <w:rFonts w:hint="eastAsia"/>
                <w:color w:val="000000"/>
                <w:sz w:val="24"/>
                <w:szCs w:val="24"/>
              </w:rPr>
              <w:t>3、系统可通过事件调查工具对日志中的源IP地址、目的IP地址、或者目的端口进行相关性日志检索；</w:t>
            </w:r>
            <w:r>
              <w:rPr>
                <w:rFonts w:hint="eastAsia"/>
                <w:color w:val="000000"/>
                <w:sz w:val="24"/>
                <w:szCs w:val="24"/>
              </w:rPr>
              <w:br w:type="textWrapping"/>
            </w:r>
            <w:r>
              <w:rPr>
                <w:rFonts w:hint="eastAsia"/>
                <w:color w:val="000000"/>
                <w:sz w:val="24"/>
                <w:szCs w:val="24"/>
              </w:rPr>
              <w:t>4、系统可针对设备地址、源地址、目标地址等进行事件数量、流量等的趋势分析；</w:t>
            </w:r>
            <w:r>
              <w:rPr>
                <w:rFonts w:hint="eastAsia"/>
                <w:color w:val="000000"/>
                <w:sz w:val="24"/>
                <w:szCs w:val="24"/>
              </w:rPr>
              <w:br w:type="textWrapping"/>
            </w:r>
            <w:r>
              <w:rPr>
                <w:rFonts w:hint="eastAsia"/>
                <w:color w:val="000000"/>
                <w:sz w:val="24"/>
                <w:szCs w:val="24"/>
              </w:rPr>
              <w:t>5、系统可对事件名称、源地址、源端口、目的地址、目的端口相同的进行归并，条件可以多种组合；</w:t>
            </w:r>
            <w:r>
              <w:rPr>
                <w:rFonts w:hint="eastAsia"/>
                <w:color w:val="000000"/>
                <w:sz w:val="24"/>
                <w:szCs w:val="24"/>
              </w:rPr>
              <w:br w:type="textWrapping"/>
            </w:r>
            <w:r>
              <w:rPr>
                <w:rFonts w:hint="eastAsia"/>
                <w:color w:val="000000"/>
                <w:sz w:val="24"/>
                <w:szCs w:val="24"/>
              </w:rPr>
              <w:t>6、系统支持事件追溯，对于关联告警事件，用户可以进行追溯，查看导致该关联事件的所有原始事件；</w:t>
            </w:r>
            <w:r>
              <w:rPr>
                <w:rFonts w:hint="eastAsia"/>
                <w:color w:val="000000"/>
                <w:sz w:val="24"/>
                <w:szCs w:val="24"/>
              </w:rPr>
              <w:br w:type="textWrapping"/>
            </w:r>
            <w:r>
              <w:rPr>
                <w:rFonts w:hint="eastAsia"/>
                <w:color w:val="000000"/>
                <w:sz w:val="24"/>
                <w:szCs w:val="24"/>
              </w:rPr>
              <w:t>7、★支持通过正则、分隔符、json、xml的可视方式进行自定义规则解析，支持对解析结果字段的新增、合并、映射；（需提供相关截图）</w:t>
            </w:r>
            <w:r>
              <w:rPr>
                <w:rFonts w:hint="eastAsia"/>
                <w:color w:val="000000"/>
                <w:sz w:val="24"/>
                <w:szCs w:val="24"/>
              </w:rPr>
              <w:br w:type="textWrapping"/>
            </w:r>
            <w:r>
              <w:rPr>
                <w:rFonts w:hint="eastAsia"/>
                <w:color w:val="000000"/>
                <w:sz w:val="24"/>
                <w:szCs w:val="24"/>
              </w:rPr>
              <w:t>8、支持单条事件进行展开，显示事件详细信息和事件原始信息，支持事件详情中任意字段作为查询条件无限制进行二次检索分析；</w:t>
            </w:r>
            <w:r>
              <w:rPr>
                <w:rFonts w:hint="eastAsia"/>
                <w:color w:val="000000"/>
                <w:sz w:val="24"/>
                <w:szCs w:val="24"/>
              </w:rPr>
              <w:br w:type="textWrapping"/>
            </w:r>
            <w:r>
              <w:rPr>
                <w:rFonts w:hint="eastAsia"/>
                <w:color w:val="000000"/>
                <w:sz w:val="24"/>
                <w:szCs w:val="24"/>
              </w:rPr>
              <w:t>9、支持解码小工具，按照不同的解码方式解码成不同的目标内容，编码格式包括base64、Unicode、GBK、HEX、UTF-8等；</w:t>
            </w:r>
            <w:r>
              <w:rPr>
                <w:rFonts w:hint="eastAsia"/>
                <w:color w:val="000000"/>
                <w:sz w:val="24"/>
                <w:szCs w:val="24"/>
              </w:rPr>
              <w:br w:type="textWrapping"/>
            </w:r>
            <w:r>
              <w:rPr>
                <w:rFonts w:hint="eastAsia"/>
                <w:color w:val="000000"/>
                <w:sz w:val="24"/>
                <w:szCs w:val="24"/>
              </w:rPr>
              <w:t>10、★支持对每个日志源设置过滤条件规则，自动过滤无用日志，满足根据实际业务需求减少采集对象发送到核心服务器的安全事件数，减少对网络带宽和数据库存储空间的占用；（需提供相关截图）</w:t>
            </w:r>
            <w:r>
              <w:rPr>
                <w:rFonts w:hint="eastAsia"/>
                <w:color w:val="000000"/>
                <w:sz w:val="24"/>
                <w:szCs w:val="24"/>
              </w:rPr>
              <w:br w:type="textWrapping"/>
            </w:r>
            <w:r>
              <w:rPr>
                <w:rFonts w:hint="eastAsia"/>
                <w:color w:val="000000"/>
                <w:sz w:val="24"/>
                <w:szCs w:val="24"/>
              </w:rPr>
              <w:t>11、三年软件产品维护升级服务。</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套</w:t>
            </w:r>
          </w:p>
        </w:tc>
        <w:tc>
          <w:tcPr>
            <w:tcW w:w="1590" w:type="dxa"/>
            <w:noWrap w:val="0"/>
            <w:vAlign w:val="center"/>
          </w:tcPr>
          <w:p>
            <w:pPr>
              <w:widowControl/>
              <w:jc w:val="left"/>
              <w:rPr>
                <w:rFonts w:hint="eastAsia" w:ascii="宋体" w:cs="宋体"/>
                <w:color w:val="000000"/>
                <w:kern w:val="0"/>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372" w:type="dxa"/>
            <w:gridSpan w:val="5"/>
            <w:noWrap w:val="0"/>
            <w:vAlign w:val="center"/>
          </w:tcPr>
          <w:p>
            <w:pPr>
              <w:widowControl/>
              <w:jc w:val="left"/>
              <w:rPr>
                <w:rFonts w:hint="eastAsia" w:ascii="宋体" w:cs="宋体"/>
                <w:b/>
                <w:bCs/>
                <w:color w:val="000000"/>
                <w:kern w:val="0"/>
                <w:sz w:val="24"/>
                <w:szCs w:val="24"/>
                <w:lang w:bidi="ar-SA"/>
              </w:rPr>
            </w:pPr>
            <w:r>
              <w:rPr>
                <w:rFonts w:hint="eastAsia" w:ascii="宋体" w:cs="宋体"/>
                <w:b/>
                <w:bCs/>
                <w:color w:val="000000"/>
                <w:kern w:val="0"/>
                <w:sz w:val="24"/>
                <w:szCs w:val="24"/>
                <w:lang w:bidi="ar-SA"/>
              </w:rPr>
              <w:t>（五）服务大厅信息化基础设施</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7076" w:type="dxa"/>
            <w:gridSpan w:val="3"/>
            <w:noWrap w:val="0"/>
            <w:vAlign w:val="center"/>
          </w:tcPr>
          <w:p>
            <w:pPr>
              <w:widowControl/>
              <w:jc w:val="left"/>
              <w:rPr>
                <w:rFonts w:hint="eastAsia" w:ascii="宋体" w:cs="宋体"/>
                <w:b/>
                <w:bCs/>
                <w:color w:val="000000"/>
                <w:kern w:val="0"/>
                <w:sz w:val="24"/>
                <w:szCs w:val="24"/>
                <w:lang w:bidi="ar-SA"/>
              </w:rPr>
            </w:pPr>
            <w:r>
              <w:rPr>
                <w:rFonts w:hint="eastAsia" w:ascii="宋体" w:cs="宋体"/>
                <w:b/>
                <w:bCs/>
                <w:color w:val="000000"/>
                <w:kern w:val="0"/>
                <w:sz w:val="24"/>
                <w:szCs w:val="24"/>
                <w:lang w:bidi="ar-SA"/>
              </w:rPr>
              <w:t>一）排队叫号系统</w:t>
            </w:r>
          </w:p>
        </w:tc>
        <w:tc>
          <w:tcPr>
            <w:tcW w:w="640" w:type="dxa"/>
            <w:noWrap w:val="0"/>
            <w:vAlign w:val="center"/>
          </w:tcPr>
          <w:p>
            <w:pPr>
              <w:widowControl/>
              <w:jc w:val="left"/>
              <w:rPr>
                <w:rFonts w:hint="eastAsia" w:ascii="宋体" w:cs="宋体"/>
                <w:b/>
                <w:bCs/>
                <w:color w:val="000000"/>
                <w:kern w:val="0"/>
                <w:sz w:val="24"/>
                <w:szCs w:val="24"/>
                <w:lang w:bidi="ar-SA"/>
              </w:rPr>
            </w:pPr>
            <w:r>
              <w:rPr>
                <w:rFonts w:hint="eastAsia" w:ascii="宋体" w:cs="宋体"/>
                <w:b/>
                <w:bCs/>
                <w:color w:val="000000"/>
                <w:kern w:val="0"/>
                <w:sz w:val="24"/>
                <w:szCs w:val="24"/>
                <w:lang w:bidi="ar-SA"/>
              </w:rPr>
              <w:t>　</w:t>
            </w:r>
          </w:p>
        </w:tc>
        <w:tc>
          <w:tcPr>
            <w:tcW w:w="656" w:type="dxa"/>
            <w:noWrap w:val="0"/>
            <w:vAlign w:val="center"/>
          </w:tcPr>
          <w:p>
            <w:pPr>
              <w:widowControl/>
              <w:jc w:val="left"/>
              <w:rPr>
                <w:rFonts w:hint="eastAsia" w:ascii="宋体" w:cs="宋体"/>
                <w:b/>
                <w:bCs/>
                <w:color w:val="000000"/>
                <w:kern w:val="0"/>
                <w:sz w:val="24"/>
                <w:szCs w:val="24"/>
                <w:lang w:bidi="ar-SA"/>
              </w:rPr>
            </w:pPr>
            <w:r>
              <w:rPr>
                <w:rFonts w:hint="eastAsia" w:ascii="宋体" w:cs="宋体"/>
                <w:b/>
                <w:bCs/>
                <w:color w:val="000000"/>
                <w:kern w:val="0"/>
                <w:sz w:val="24"/>
                <w:szCs w:val="24"/>
                <w:lang w:bidi="ar-SA"/>
              </w:rPr>
              <w:t>　</w:t>
            </w:r>
          </w:p>
          <w:p>
            <w:pPr>
              <w:widowControl/>
              <w:jc w:val="left"/>
              <w:rPr>
                <w:rFonts w:hint="eastAsia" w:ascii="宋体" w:cs="宋体"/>
                <w:b/>
                <w:bCs/>
                <w:color w:val="000000"/>
                <w:kern w:val="0"/>
                <w:sz w:val="24"/>
                <w:szCs w:val="24"/>
                <w:lang w:bidi="ar-SA"/>
              </w:rPr>
            </w:pPr>
            <w:r>
              <w:rPr>
                <w:rFonts w:hint="eastAsia" w:ascii="宋体" w:cs="宋体"/>
                <w:b/>
                <w:bCs/>
                <w:color w:val="000000"/>
                <w:kern w:val="0"/>
                <w:sz w:val="24"/>
                <w:szCs w:val="24"/>
                <w:lang w:bidi="ar-SA"/>
              </w:rPr>
              <w:t>　</w:t>
            </w:r>
          </w:p>
          <w:p>
            <w:pPr>
              <w:widowControl/>
              <w:jc w:val="left"/>
              <w:rPr>
                <w:rFonts w:hint="eastAsia" w:ascii="宋体" w:cs="宋体"/>
                <w:b/>
                <w:bCs/>
                <w:color w:val="000000"/>
                <w:kern w:val="0"/>
                <w:sz w:val="24"/>
                <w:szCs w:val="24"/>
                <w:lang w:bidi="ar-SA"/>
              </w:rPr>
            </w:pPr>
            <w:r>
              <w:rPr>
                <w:rFonts w:hint="eastAsia" w:ascii="宋体" w:cs="宋体"/>
                <w:b/>
                <w:bCs/>
                <w:color w:val="000000"/>
                <w:kern w:val="0"/>
                <w:sz w:val="24"/>
                <w:szCs w:val="24"/>
                <w:lang w:bidi="ar-SA"/>
              </w:rPr>
              <w:t>　</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kern w:val="0"/>
                <w:sz w:val="24"/>
                <w:szCs w:val="24"/>
                <w:lang w:bidi="ar-SA"/>
              </w:rPr>
            </w:pPr>
            <w:r>
              <w:rPr>
                <w:rFonts w:hint="eastAsia" w:ascii="宋体" w:cs="宋体"/>
                <w:kern w:val="0"/>
                <w:sz w:val="24"/>
                <w:szCs w:val="24"/>
                <w:lang w:bidi="ar-SA"/>
              </w:rPr>
              <w:t xml:space="preserve">1 </w:t>
            </w:r>
          </w:p>
        </w:tc>
        <w:tc>
          <w:tcPr>
            <w:tcW w:w="1273" w:type="dxa"/>
            <w:noWrap w:val="0"/>
            <w:vAlign w:val="center"/>
          </w:tcPr>
          <w:p>
            <w:pPr>
              <w:widowControl/>
              <w:jc w:val="center"/>
              <w:rPr>
                <w:rFonts w:hint="eastAsia" w:ascii="宋体" w:cs="宋体"/>
                <w:kern w:val="0"/>
                <w:sz w:val="24"/>
                <w:szCs w:val="24"/>
                <w:lang w:bidi="ar-SA"/>
              </w:rPr>
            </w:pPr>
            <w:r>
              <w:rPr>
                <w:rFonts w:hint="eastAsia" w:ascii="宋体" w:cs="宋体"/>
                <w:kern w:val="0"/>
                <w:sz w:val="24"/>
                <w:szCs w:val="24"/>
                <w:lang w:bidi="ar-SA"/>
              </w:rPr>
              <w:t>排队叫号机</w:t>
            </w:r>
          </w:p>
        </w:tc>
        <w:tc>
          <w:tcPr>
            <w:tcW w:w="5413" w:type="dxa"/>
            <w:noWrap w:val="0"/>
            <w:vAlign w:val="center"/>
          </w:tcPr>
          <w:p>
            <w:pPr>
              <w:widowControl/>
              <w:jc w:val="left"/>
              <w:rPr>
                <w:sz w:val="24"/>
                <w:szCs w:val="24"/>
              </w:rPr>
            </w:pPr>
            <w:r>
              <w:rPr>
                <w:rFonts w:hint="eastAsia"/>
                <w:sz w:val="24"/>
                <w:szCs w:val="24"/>
              </w:rPr>
              <w:t>1、触摸屏≥19寸；触摸技术：电容触摸；</w:t>
            </w:r>
          </w:p>
          <w:p>
            <w:pPr>
              <w:widowControl/>
              <w:jc w:val="left"/>
              <w:rPr>
                <w:sz w:val="24"/>
                <w:szCs w:val="24"/>
              </w:rPr>
            </w:pPr>
            <w:r>
              <w:rPr>
                <w:sz w:val="24"/>
                <w:szCs w:val="24"/>
              </w:rPr>
              <w:t>2</w:t>
            </w:r>
            <w:r>
              <w:rPr>
                <w:rFonts w:hint="eastAsia"/>
                <w:sz w:val="24"/>
                <w:szCs w:val="24"/>
              </w:rPr>
              <w:t>、响应时间：≤5ms；触摸有效识别≥ 1.5mm；</w:t>
            </w:r>
          </w:p>
          <w:p>
            <w:pPr>
              <w:widowControl/>
              <w:jc w:val="left"/>
              <w:rPr>
                <w:sz w:val="24"/>
                <w:szCs w:val="24"/>
              </w:rPr>
            </w:pPr>
            <w:r>
              <w:rPr>
                <w:sz w:val="24"/>
                <w:szCs w:val="24"/>
              </w:rPr>
              <w:t>3</w:t>
            </w:r>
            <w:r>
              <w:rPr>
                <w:rFonts w:hint="eastAsia"/>
                <w:sz w:val="24"/>
                <w:szCs w:val="24"/>
              </w:rPr>
              <w:t>、触摸分辨率：≥4096*4096；单点触摸寿命：不低于7000万次；</w:t>
            </w:r>
          </w:p>
          <w:p>
            <w:pPr>
              <w:widowControl/>
              <w:jc w:val="left"/>
              <w:rPr>
                <w:sz w:val="24"/>
                <w:szCs w:val="24"/>
              </w:rPr>
            </w:pPr>
            <w:r>
              <w:rPr>
                <w:sz w:val="24"/>
                <w:szCs w:val="24"/>
              </w:rPr>
              <w:t>4</w:t>
            </w:r>
            <w:r>
              <w:rPr>
                <w:rFonts w:hint="eastAsia"/>
                <w:sz w:val="24"/>
                <w:szCs w:val="24"/>
              </w:rPr>
              <w:t xml:space="preserve">、显示屏：≥19寸LED专业液晶 （A+级），液晶分辨率：≥1280*1024；屏幕比例：4:3 ；   </w:t>
            </w:r>
          </w:p>
          <w:p>
            <w:pPr>
              <w:widowControl/>
              <w:jc w:val="left"/>
              <w:rPr>
                <w:rFonts w:hint="eastAsia" w:ascii="宋体" w:cs="宋体"/>
                <w:kern w:val="0"/>
                <w:sz w:val="24"/>
                <w:szCs w:val="24"/>
                <w:lang w:bidi="ar-SA"/>
              </w:rPr>
            </w:pPr>
            <w:r>
              <w:rPr>
                <w:sz w:val="24"/>
                <w:szCs w:val="24"/>
              </w:rPr>
              <w:t>5</w:t>
            </w:r>
            <w:r>
              <w:rPr>
                <w:rFonts w:hint="eastAsia"/>
                <w:sz w:val="24"/>
                <w:szCs w:val="24"/>
              </w:rPr>
              <w:t>、集成打印机打印寿命：≥150km，打印速度：≥200mm/sec，打印纸宽：≥80mm，集成身份证阅读器、二维码等功能。</w:t>
            </w:r>
          </w:p>
        </w:tc>
        <w:tc>
          <w:tcPr>
            <w:tcW w:w="640" w:type="dxa"/>
            <w:noWrap w:val="0"/>
            <w:vAlign w:val="center"/>
          </w:tcPr>
          <w:p>
            <w:pPr>
              <w:widowControl/>
              <w:jc w:val="center"/>
              <w:rPr>
                <w:rFonts w:hint="eastAsia" w:ascii="宋体" w:cs="宋体"/>
                <w:kern w:val="0"/>
                <w:sz w:val="24"/>
                <w:szCs w:val="24"/>
                <w:lang w:bidi="ar-SA"/>
              </w:rPr>
            </w:pPr>
            <w:r>
              <w:rPr>
                <w:rFonts w:hint="eastAsia" w:ascii="宋体" w:cs="宋体"/>
                <w:kern w:val="0"/>
                <w:sz w:val="24"/>
                <w:szCs w:val="24"/>
                <w:lang w:bidi="ar-SA"/>
              </w:rPr>
              <w:t xml:space="preserve">1 </w:t>
            </w:r>
          </w:p>
        </w:tc>
        <w:tc>
          <w:tcPr>
            <w:tcW w:w="656" w:type="dxa"/>
            <w:noWrap w:val="0"/>
            <w:vAlign w:val="center"/>
          </w:tcPr>
          <w:p>
            <w:pPr>
              <w:widowControl/>
              <w:jc w:val="center"/>
              <w:rPr>
                <w:rFonts w:hint="eastAsia" w:ascii="宋体" w:cs="宋体"/>
                <w:kern w:val="0"/>
                <w:sz w:val="24"/>
                <w:szCs w:val="24"/>
                <w:lang w:bidi="ar-SA"/>
              </w:rPr>
            </w:pPr>
            <w:r>
              <w:rPr>
                <w:rFonts w:hint="eastAsia" w:ascii="宋体" w:cs="宋体"/>
                <w:kern w:val="0"/>
                <w:sz w:val="24"/>
                <w:szCs w:val="24"/>
                <w:lang w:bidi="ar-SA"/>
              </w:rPr>
              <w:t>台</w:t>
            </w:r>
          </w:p>
        </w:tc>
        <w:tc>
          <w:tcPr>
            <w:tcW w:w="1590" w:type="dxa"/>
            <w:noWrap w:val="0"/>
            <w:vAlign w:val="center"/>
          </w:tcPr>
          <w:p>
            <w:pPr>
              <w:widowControl/>
              <w:jc w:val="left"/>
              <w:rPr>
                <w:rFonts w:hint="eastAsia" w:ascii="宋体" w:cs="宋体"/>
                <w:color w:val="0000FF"/>
                <w:kern w:val="0"/>
                <w:sz w:val="24"/>
                <w:szCs w:val="24"/>
                <w:lang w:bidi="ar-SA"/>
              </w:rPr>
            </w:pPr>
            <w:r>
              <w:rPr>
                <w:rFonts w:hint="eastAsia" w:ascii="宋体" w:cs="宋体"/>
                <w:color w:val="0000FF"/>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2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排队叫号软件</w:t>
            </w:r>
          </w:p>
        </w:tc>
        <w:tc>
          <w:tcPr>
            <w:tcW w:w="5413" w:type="dxa"/>
            <w:noWrap w:val="0"/>
            <w:vAlign w:val="center"/>
          </w:tcPr>
          <w:p>
            <w:pPr>
              <w:widowControl/>
              <w:jc w:val="left"/>
              <w:rPr>
                <w:rFonts w:hint="eastAsia" w:ascii="宋体" w:cs="宋体"/>
                <w:color w:val="000000"/>
                <w:kern w:val="0"/>
                <w:sz w:val="24"/>
                <w:szCs w:val="24"/>
                <w:lang w:bidi="ar-SA"/>
              </w:rPr>
            </w:pPr>
            <w:r>
              <w:rPr>
                <w:rFonts w:hint="eastAsia"/>
                <w:color w:val="000000"/>
                <w:sz w:val="24"/>
                <w:szCs w:val="24"/>
              </w:rPr>
              <w:t>1、支持现场取号、预约取号（可通过手机号、刷身份证、预约用户二维码取号）；</w:t>
            </w:r>
            <w:r>
              <w:rPr>
                <w:rFonts w:hint="eastAsia"/>
                <w:color w:val="000000"/>
                <w:sz w:val="24"/>
                <w:szCs w:val="24"/>
              </w:rPr>
              <w:br w:type="textWrapping"/>
            </w:r>
            <w:r>
              <w:rPr>
                <w:color w:val="000000"/>
                <w:sz w:val="24"/>
                <w:szCs w:val="24"/>
              </w:rPr>
              <w:t>2</w:t>
            </w:r>
            <w:r>
              <w:rPr>
                <w:rFonts w:hint="eastAsia"/>
                <w:color w:val="000000"/>
                <w:sz w:val="24"/>
                <w:szCs w:val="24"/>
              </w:rPr>
              <w:t>、管理功能：提供业务管理、窗口管理、工作人员管理、部门管理、呼叫绑定，窗口绑定，排队机绑定等功能，可配置现场取号刷身份证、输入手机号、输入到场人数等选项记录取号信息，支持预约取号服务，预约数量限制；</w:t>
            </w:r>
            <w:r>
              <w:rPr>
                <w:rFonts w:hint="eastAsia"/>
                <w:color w:val="000000"/>
                <w:sz w:val="24"/>
                <w:szCs w:val="24"/>
              </w:rPr>
              <w:br w:type="textWrapping"/>
            </w:r>
            <w:r>
              <w:rPr>
                <w:color w:val="000000"/>
                <w:sz w:val="24"/>
                <w:szCs w:val="24"/>
              </w:rPr>
              <w:t>3</w:t>
            </w:r>
            <w:r>
              <w:rPr>
                <w:rFonts w:hint="eastAsia"/>
                <w:color w:val="000000"/>
                <w:sz w:val="24"/>
                <w:szCs w:val="24"/>
              </w:rPr>
              <w:t>、可配置现场取号刷身份证、输入手机号、输入到场人数等选项记录取号信息，支持预约取号服务，预约数量限制，可配置部门上午或下午最多取号数限制，提供限时取号服务，用户可设置取号开始、结束时间，可分时间段设置，排号统计查询功能：可按部门、业务查询当天、本周、本月排号数量统计，提供呼叫转移、特呼、重呼、过号、离开、继续工作配置功能；</w:t>
            </w:r>
            <w:r>
              <w:rPr>
                <w:rFonts w:hint="eastAsia"/>
                <w:color w:val="000000"/>
                <w:sz w:val="24"/>
                <w:szCs w:val="24"/>
              </w:rPr>
              <w:br w:type="textWrapping"/>
            </w:r>
            <w:r>
              <w:rPr>
                <w:color w:val="000000"/>
                <w:sz w:val="24"/>
                <w:szCs w:val="24"/>
              </w:rPr>
              <w:t>4</w:t>
            </w:r>
            <w:r>
              <w:rPr>
                <w:rFonts w:hint="eastAsia"/>
                <w:color w:val="000000"/>
                <w:sz w:val="24"/>
                <w:szCs w:val="24"/>
              </w:rPr>
              <w:t>、支持与短信系统无缝对接，提供取号、临近、叫号、预约排号短信通知服务， 实现无声叫号服务，支持一键式开关电源保护系统，所有排队呼叫、信息记录、统计分析同步完成，具备强大的后台监控功能，可动态配置打印小票抬头、排号位数、微信预约是否为优排号、微信预约取号时排号前缀、排号前缀按所在部门上设置或按所属事项上设置、工作人员可重呼次数、重呼间隔时间、排队机上显示抬头、缺纸提示；</w:t>
            </w:r>
            <w:r>
              <w:rPr>
                <w:rFonts w:hint="eastAsia"/>
                <w:color w:val="000000"/>
                <w:sz w:val="24"/>
                <w:szCs w:val="24"/>
              </w:rPr>
              <w:br w:type="textWrapping"/>
            </w:r>
            <w:r>
              <w:rPr>
                <w:color w:val="000000"/>
                <w:sz w:val="24"/>
                <w:szCs w:val="24"/>
              </w:rPr>
              <w:t>5</w:t>
            </w:r>
            <w:r>
              <w:rPr>
                <w:rFonts w:hint="eastAsia"/>
                <w:color w:val="000000"/>
                <w:sz w:val="24"/>
                <w:szCs w:val="24"/>
              </w:rPr>
              <w:t>、可配置语音合成使用外网合成服务及配置发言人、音调、语速等参数，或使用内网指定内容合成服务地址，可配置最大预约日期天数，预约时间间隔长度，限制非工作时间不可预约，可提供创建预约接口给三方程序，提交创建后返回预约记录id和取号码。预约取号后可配置通知地址，通知三方系统已取号，可配置当月最大爽约次数，操作爽约次数限制其预约，防止恶意预约，后台修改窗口、工作人员、呼叫器、评价器信息后，实时推送修改；</w:t>
            </w:r>
            <w:r>
              <w:rPr>
                <w:rFonts w:hint="eastAsia"/>
                <w:color w:val="000000"/>
                <w:sz w:val="24"/>
                <w:szCs w:val="24"/>
              </w:rPr>
              <w:br w:type="textWrapping"/>
            </w:r>
            <w:r>
              <w:rPr>
                <w:color w:val="000000"/>
                <w:sz w:val="24"/>
                <w:szCs w:val="24"/>
              </w:rPr>
              <w:t>6</w:t>
            </w:r>
            <w:r>
              <w:rPr>
                <w:rFonts w:hint="eastAsia"/>
                <w:color w:val="000000"/>
                <w:sz w:val="24"/>
                <w:szCs w:val="24"/>
              </w:rPr>
              <w:t>、支持Linux，window部署，支持人大金仓，mysql，sqlserver数据库；</w:t>
            </w:r>
            <w:r>
              <w:rPr>
                <w:rFonts w:hint="eastAsia"/>
                <w:color w:val="000000"/>
                <w:sz w:val="24"/>
                <w:szCs w:val="24"/>
              </w:rPr>
              <w:br w:type="textWrapping"/>
            </w:r>
            <w:r>
              <w:rPr>
                <w:color w:val="000000"/>
                <w:sz w:val="24"/>
                <w:szCs w:val="24"/>
              </w:rPr>
              <w:t>7</w:t>
            </w:r>
            <w:r>
              <w:rPr>
                <w:rFonts w:hint="eastAsia"/>
                <w:color w:val="000000"/>
                <w:sz w:val="24"/>
                <w:szCs w:val="24"/>
              </w:rPr>
              <w:t>、窗口屏可提供横屏、竖屏模式，竖屏可放置在办事门口当做门牌屏；若工作人员呼叫账号切换到不在工作状态，窗口屏实时切换到显示暂停办理，门牌屏显示后台设置的屏保图片；</w:t>
            </w:r>
            <w:r>
              <w:rPr>
                <w:rFonts w:hint="eastAsia"/>
                <w:color w:val="000000"/>
                <w:sz w:val="24"/>
                <w:szCs w:val="24"/>
              </w:rPr>
              <w:br w:type="textWrapping"/>
            </w:r>
            <w:r>
              <w:rPr>
                <w:color w:val="000000"/>
                <w:sz w:val="24"/>
                <w:szCs w:val="24"/>
              </w:rPr>
              <w:t>8</w:t>
            </w:r>
            <w:r>
              <w:rPr>
                <w:rFonts w:hint="eastAsia"/>
                <w:color w:val="000000"/>
                <w:sz w:val="24"/>
                <w:szCs w:val="24"/>
              </w:rPr>
              <w:t>、提供可视化数据分析图表，支持有声呼叫，无声呼叫，有声呼叫可配置中英文结合；</w:t>
            </w:r>
            <w:r>
              <w:rPr>
                <w:rFonts w:hint="eastAsia"/>
                <w:color w:val="000000"/>
                <w:sz w:val="24"/>
                <w:szCs w:val="24"/>
              </w:rPr>
              <w:br w:type="textWrapping"/>
            </w:r>
            <w:r>
              <w:rPr>
                <w:color w:val="000000"/>
                <w:sz w:val="24"/>
                <w:szCs w:val="24"/>
              </w:rPr>
              <w:t>9</w:t>
            </w:r>
            <w:r>
              <w:rPr>
                <w:rFonts w:hint="eastAsia"/>
                <w:color w:val="000000"/>
                <w:sz w:val="24"/>
                <w:szCs w:val="24"/>
              </w:rPr>
              <w:t>、排队系统自动检测排队纸张使用情况，若无纸时弹出显示到取号机上内容为后台设置，缺纸，纸将尽可配置短信通知；</w:t>
            </w:r>
            <w:r>
              <w:rPr>
                <w:rFonts w:hint="eastAsia"/>
                <w:color w:val="000000"/>
                <w:sz w:val="24"/>
                <w:szCs w:val="24"/>
              </w:rPr>
              <w:br w:type="textWrapping"/>
            </w:r>
            <w:r>
              <w:rPr>
                <w:color w:val="000000"/>
                <w:sz w:val="24"/>
                <w:szCs w:val="24"/>
              </w:rPr>
              <w:t>10</w:t>
            </w:r>
            <w:r>
              <w:rPr>
                <w:rFonts w:hint="eastAsia"/>
                <w:color w:val="000000"/>
                <w:sz w:val="24"/>
                <w:szCs w:val="24"/>
              </w:rPr>
              <w:t>、微信公众号预约，可动态配置可预约事项、预约时间段、每个时间段最多预约数，可设置微信预约排队优先处理；</w:t>
            </w:r>
            <w:r>
              <w:rPr>
                <w:rFonts w:hint="eastAsia"/>
                <w:color w:val="000000"/>
                <w:sz w:val="24"/>
                <w:szCs w:val="24"/>
              </w:rPr>
              <w:br w:type="textWrapping"/>
            </w:r>
            <w:r>
              <w:rPr>
                <w:color w:val="000000"/>
                <w:sz w:val="24"/>
                <w:szCs w:val="24"/>
              </w:rPr>
              <w:t>11</w:t>
            </w:r>
            <w:r>
              <w:rPr>
                <w:rFonts w:hint="eastAsia"/>
                <w:color w:val="000000"/>
                <w:sz w:val="24"/>
                <w:szCs w:val="24"/>
              </w:rPr>
              <w:t>、排队系统呼叫软件、后台管理系统软件可无缝嵌入到其他管理系统中，提高业务办公系统的统一性；</w:t>
            </w:r>
            <w:r>
              <w:rPr>
                <w:rFonts w:hint="eastAsia"/>
                <w:color w:val="000000"/>
                <w:sz w:val="24"/>
                <w:szCs w:val="24"/>
              </w:rPr>
              <w:br w:type="textWrapping"/>
            </w:r>
            <w:r>
              <w:rPr>
                <w:color w:val="000000"/>
                <w:sz w:val="24"/>
                <w:szCs w:val="24"/>
              </w:rPr>
              <w:t>12</w:t>
            </w:r>
            <w:r>
              <w:rPr>
                <w:rFonts w:hint="eastAsia"/>
                <w:color w:val="000000"/>
                <w:sz w:val="24"/>
                <w:szCs w:val="24"/>
              </w:rPr>
              <w:t>、★</w:t>
            </w:r>
            <w:r>
              <w:rPr>
                <w:rFonts w:hint="eastAsia"/>
                <w:color w:val="0000FF"/>
                <w:sz w:val="24"/>
                <w:szCs w:val="24"/>
              </w:rPr>
              <w:t>需提供排队叫号软件著作权复印件。</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套</w:t>
            </w:r>
          </w:p>
        </w:tc>
        <w:tc>
          <w:tcPr>
            <w:tcW w:w="15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3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窗口显示屏</w:t>
            </w:r>
          </w:p>
        </w:tc>
        <w:tc>
          <w:tcPr>
            <w:tcW w:w="5413" w:type="dxa"/>
            <w:noWrap w:val="0"/>
            <w:vAlign w:val="center"/>
          </w:tcPr>
          <w:p>
            <w:pPr>
              <w:widowControl/>
              <w:jc w:val="left"/>
              <w:rPr>
                <w:color w:val="000000"/>
                <w:sz w:val="24"/>
                <w:szCs w:val="24"/>
              </w:rPr>
            </w:pPr>
            <w:r>
              <w:rPr>
                <w:rFonts w:hint="eastAsia"/>
                <w:color w:val="000000"/>
                <w:sz w:val="24"/>
                <w:szCs w:val="24"/>
              </w:rPr>
              <w:t>1、屏幕：≥32寸；</w:t>
            </w:r>
          </w:p>
          <w:p>
            <w:pPr>
              <w:widowControl/>
              <w:jc w:val="left"/>
              <w:rPr>
                <w:color w:val="000000"/>
                <w:sz w:val="24"/>
                <w:szCs w:val="24"/>
              </w:rPr>
            </w:pPr>
            <w:r>
              <w:rPr>
                <w:rFonts w:hint="eastAsia"/>
                <w:color w:val="000000"/>
                <w:sz w:val="24"/>
                <w:szCs w:val="24"/>
              </w:rPr>
              <w:t>2、分辨率：≥1280*1024；</w:t>
            </w:r>
          </w:p>
          <w:p>
            <w:pPr>
              <w:widowControl/>
              <w:jc w:val="left"/>
              <w:rPr>
                <w:color w:val="000000"/>
                <w:sz w:val="24"/>
                <w:szCs w:val="24"/>
              </w:rPr>
            </w:pPr>
            <w:r>
              <w:rPr>
                <w:rFonts w:hint="eastAsia"/>
                <w:color w:val="000000"/>
                <w:sz w:val="24"/>
                <w:szCs w:val="24"/>
              </w:rPr>
              <w:t>3、亮度：≥250cd/m2max，</w:t>
            </w:r>
          </w:p>
          <w:p>
            <w:pPr>
              <w:widowControl/>
              <w:jc w:val="left"/>
              <w:rPr>
                <w:color w:val="000000"/>
                <w:sz w:val="24"/>
                <w:szCs w:val="24"/>
              </w:rPr>
            </w:pPr>
            <w:r>
              <w:rPr>
                <w:rFonts w:hint="eastAsia"/>
                <w:color w:val="000000"/>
                <w:sz w:val="24"/>
                <w:szCs w:val="24"/>
              </w:rPr>
              <w:t>4、图像比例：4:3/16:09；</w:t>
            </w:r>
          </w:p>
          <w:p>
            <w:pPr>
              <w:widowControl/>
              <w:jc w:val="left"/>
              <w:rPr>
                <w:color w:val="000000"/>
                <w:sz w:val="24"/>
                <w:szCs w:val="24"/>
              </w:rPr>
            </w:pPr>
            <w:r>
              <w:rPr>
                <w:rFonts w:hint="eastAsia"/>
                <w:color w:val="000000"/>
                <w:sz w:val="24"/>
                <w:szCs w:val="24"/>
              </w:rPr>
              <w:t>5、视角：±890水平，±890左右；</w:t>
            </w:r>
          </w:p>
          <w:p>
            <w:pPr>
              <w:widowControl/>
              <w:jc w:val="left"/>
              <w:rPr>
                <w:color w:val="000000"/>
                <w:sz w:val="24"/>
                <w:szCs w:val="24"/>
              </w:rPr>
            </w:pPr>
            <w:r>
              <w:rPr>
                <w:rFonts w:hint="eastAsia"/>
                <w:color w:val="000000"/>
                <w:sz w:val="24"/>
                <w:szCs w:val="24"/>
              </w:rPr>
              <w:t>6、寿命:≥50000 hours；</w:t>
            </w:r>
          </w:p>
          <w:p>
            <w:pPr>
              <w:widowControl/>
              <w:jc w:val="left"/>
              <w:rPr>
                <w:rFonts w:hint="eastAsia" w:ascii="宋体" w:cs="宋体"/>
                <w:color w:val="000000"/>
                <w:kern w:val="0"/>
                <w:sz w:val="24"/>
                <w:szCs w:val="24"/>
                <w:lang w:bidi="ar-SA"/>
              </w:rPr>
            </w:pPr>
            <w:r>
              <w:rPr>
                <w:rFonts w:hint="eastAsia"/>
                <w:color w:val="000000"/>
                <w:sz w:val="24"/>
                <w:szCs w:val="24"/>
              </w:rPr>
              <w:t>7、操作系统：正版操作系统。</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4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台</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4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集中显示屏</w:t>
            </w:r>
          </w:p>
        </w:tc>
        <w:tc>
          <w:tcPr>
            <w:tcW w:w="5413" w:type="dxa"/>
            <w:noWrap w:val="0"/>
            <w:vAlign w:val="center"/>
          </w:tcPr>
          <w:p>
            <w:pPr>
              <w:widowControl/>
              <w:jc w:val="left"/>
              <w:rPr>
                <w:color w:val="000000"/>
                <w:sz w:val="24"/>
                <w:szCs w:val="24"/>
              </w:rPr>
            </w:pPr>
            <w:r>
              <w:rPr>
                <w:rFonts w:hint="eastAsia"/>
                <w:color w:val="000000"/>
                <w:sz w:val="24"/>
                <w:szCs w:val="24"/>
              </w:rPr>
              <w:t>1、屏幕尺寸：≥55英寸，</w:t>
            </w:r>
          </w:p>
          <w:p>
            <w:pPr>
              <w:widowControl/>
              <w:jc w:val="left"/>
              <w:rPr>
                <w:color w:val="000000"/>
                <w:sz w:val="24"/>
                <w:szCs w:val="24"/>
              </w:rPr>
            </w:pPr>
            <w:r>
              <w:rPr>
                <w:rFonts w:hint="eastAsia"/>
                <w:color w:val="000000"/>
                <w:sz w:val="24"/>
                <w:szCs w:val="24"/>
              </w:rPr>
              <w:t>2、屏幕比例：16:9，</w:t>
            </w:r>
          </w:p>
          <w:p>
            <w:pPr>
              <w:widowControl/>
              <w:jc w:val="left"/>
              <w:rPr>
                <w:color w:val="000000"/>
                <w:sz w:val="24"/>
                <w:szCs w:val="24"/>
              </w:rPr>
            </w:pPr>
            <w:r>
              <w:rPr>
                <w:rFonts w:hint="eastAsia"/>
                <w:color w:val="000000"/>
                <w:sz w:val="24"/>
                <w:szCs w:val="24"/>
              </w:rPr>
              <w:t>3、亮度：≥400nits，</w:t>
            </w:r>
          </w:p>
          <w:p>
            <w:pPr>
              <w:widowControl/>
              <w:jc w:val="left"/>
              <w:rPr>
                <w:color w:val="000000"/>
                <w:sz w:val="24"/>
                <w:szCs w:val="24"/>
              </w:rPr>
            </w:pPr>
            <w:r>
              <w:rPr>
                <w:rFonts w:hint="eastAsia"/>
                <w:color w:val="000000"/>
                <w:sz w:val="24"/>
                <w:szCs w:val="24"/>
              </w:rPr>
              <w:t>4、刷屏率：≥60HZ；</w:t>
            </w:r>
          </w:p>
          <w:p>
            <w:pPr>
              <w:widowControl/>
              <w:jc w:val="left"/>
              <w:rPr>
                <w:color w:val="000000"/>
                <w:sz w:val="24"/>
                <w:szCs w:val="24"/>
              </w:rPr>
            </w:pPr>
            <w:r>
              <w:rPr>
                <w:rFonts w:hint="eastAsia"/>
                <w:color w:val="000000"/>
                <w:sz w:val="24"/>
                <w:szCs w:val="24"/>
              </w:rPr>
              <w:t>3、响应时间：≤8ms；</w:t>
            </w:r>
          </w:p>
          <w:p>
            <w:pPr>
              <w:widowControl/>
              <w:jc w:val="left"/>
              <w:rPr>
                <w:color w:val="000000"/>
                <w:sz w:val="24"/>
                <w:szCs w:val="24"/>
              </w:rPr>
            </w:pPr>
            <w:r>
              <w:rPr>
                <w:rFonts w:hint="eastAsia"/>
                <w:color w:val="000000"/>
                <w:sz w:val="24"/>
                <w:szCs w:val="24"/>
              </w:rPr>
              <w:t>4、支持格式（高清）：1080p/1080i/720p；</w:t>
            </w:r>
          </w:p>
          <w:p>
            <w:pPr>
              <w:widowControl/>
              <w:jc w:val="left"/>
              <w:rPr>
                <w:color w:val="000000"/>
                <w:sz w:val="24"/>
                <w:szCs w:val="24"/>
              </w:rPr>
            </w:pPr>
            <w:r>
              <w:rPr>
                <w:rFonts w:hint="eastAsia"/>
                <w:color w:val="000000"/>
                <w:sz w:val="24"/>
                <w:szCs w:val="24"/>
              </w:rPr>
              <w:t>5、操作系统：正版操作系统；</w:t>
            </w:r>
          </w:p>
          <w:p>
            <w:pPr>
              <w:widowControl/>
              <w:jc w:val="left"/>
              <w:rPr>
                <w:color w:val="000000"/>
                <w:sz w:val="24"/>
                <w:szCs w:val="24"/>
              </w:rPr>
            </w:pPr>
            <w:r>
              <w:rPr>
                <w:rFonts w:hint="eastAsia"/>
                <w:color w:val="000000"/>
                <w:sz w:val="24"/>
                <w:szCs w:val="24"/>
              </w:rPr>
              <w:t>6、音频参数：支持多声道功能，多声道；</w:t>
            </w:r>
          </w:p>
          <w:p>
            <w:pPr>
              <w:widowControl/>
              <w:jc w:val="left"/>
              <w:rPr>
                <w:rFonts w:hint="eastAsia" w:ascii="宋体" w:cs="宋体"/>
                <w:color w:val="000000"/>
                <w:kern w:val="0"/>
                <w:sz w:val="24"/>
                <w:szCs w:val="24"/>
                <w:lang w:bidi="ar-SA"/>
              </w:rPr>
            </w:pPr>
            <w:r>
              <w:rPr>
                <w:rFonts w:hint="eastAsia"/>
                <w:color w:val="000000"/>
                <w:sz w:val="24"/>
                <w:szCs w:val="24"/>
              </w:rPr>
              <w:t>7、扬声器数量：≥2个。</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台</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5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辅材</w:t>
            </w:r>
          </w:p>
        </w:tc>
        <w:tc>
          <w:tcPr>
            <w:tcW w:w="5413" w:type="dxa"/>
            <w:noWrap w:val="0"/>
            <w:vAlign w:val="center"/>
          </w:tcPr>
          <w:p>
            <w:pPr>
              <w:widowControl/>
              <w:jc w:val="left"/>
              <w:rPr>
                <w:rFonts w:hint="eastAsia" w:ascii="宋体" w:cs="宋体"/>
                <w:color w:val="000000"/>
                <w:kern w:val="0"/>
                <w:sz w:val="24"/>
                <w:szCs w:val="24"/>
                <w:lang w:bidi="ar-SA"/>
              </w:rPr>
            </w:pPr>
            <w:r>
              <w:rPr>
                <w:rFonts w:hint="eastAsia"/>
                <w:color w:val="000000"/>
                <w:sz w:val="24"/>
                <w:szCs w:val="24"/>
              </w:rPr>
              <w:t>包括：窗口显示屏吊挂支架*4（不锈钢）；集中显示屏壁挂支架*1（冷轧钢）；电源线（显示屏专业电源线）；其他配套辅材（管材、卡扣、锁扣、过线盒）。</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套</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076" w:type="dxa"/>
            <w:gridSpan w:val="3"/>
            <w:noWrap w:val="0"/>
            <w:vAlign w:val="center"/>
          </w:tcPr>
          <w:p>
            <w:pPr>
              <w:widowControl/>
              <w:jc w:val="left"/>
              <w:rPr>
                <w:rFonts w:hint="eastAsia" w:ascii="宋体" w:cs="宋体"/>
                <w:b/>
                <w:bCs/>
                <w:color w:val="000000"/>
                <w:kern w:val="0"/>
                <w:sz w:val="24"/>
                <w:szCs w:val="24"/>
                <w:lang w:bidi="ar-SA"/>
              </w:rPr>
            </w:pPr>
            <w:r>
              <w:rPr>
                <w:rFonts w:hint="eastAsia" w:ascii="宋体" w:cs="宋体"/>
                <w:b/>
                <w:bCs/>
                <w:color w:val="000000"/>
                <w:kern w:val="0"/>
                <w:sz w:val="24"/>
                <w:szCs w:val="24"/>
                <w:lang w:bidi="ar-SA"/>
              </w:rPr>
              <w:t>二）大厅广播系统</w:t>
            </w:r>
          </w:p>
        </w:tc>
        <w:tc>
          <w:tcPr>
            <w:tcW w:w="640" w:type="dxa"/>
            <w:noWrap w:val="0"/>
            <w:vAlign w:val="center"/>
          </w:tcPr>
          <w:p>
            <w:pPr>
              <w:widowControl/>
              <w:jc w:val="left"/>
              <w:rPr>
                <w:rFonts w:hint="eastAsia" w:ascii="宋体" w:cs="宋体"/>
                <w:b/>
                <w:bCs/>
                <w:color w:val="000000"/>
                <w:kern w:val="0"/>
                <w:sz w:val="24"/>
                <w:szCs w:val="24"/>
                <w:lang w:bidi="ar-SA"/>
              </w:rPr>
            </w:pPr>
            <w:r>
              <w:rPr>
                <w:rFonts w:hint="eastAsia" w:ascii="宋体" w:cs="宋体"/>
                <w:b/>
                <w:bCs/>
                <w:color w:val="000000"/>
                <w:kern w:val="0"/>
                <w:sz w:val="24"/>
                <w:szCs w:val="24"/>
                <w:lang w:bidi="ar-SA"/>
              </w:rPr>
              <w:t>　</w:t>
            </w:r>
          </w:p>
        </w:tc>
        <w:tc>
          <w:tcPr>
            <w:tcW w:w="656" w:type="dxa"/>
            <w:noWrap w:val="0"/>
            <w:vAlign w:val="center"/>
          </w:tcPr>
          <w:p>
            <w:pPr>
              <w:widowControl/>
              <w:jc w:val="left"/>
              <w:rPr>
                <w:rFonts w:hint="eastAsia" w:ascii="宋体" w:cs="宋体"/>
                <w:b/>
                <w:bCs/>
                <w:color w:val="000000"/>
                <w:kern w:val="0"/>
                <w:sz w:val="24"/>
                <w:szCs w:val="24"/>
                <w:lang w:bidi="ar-SA"/>
              </w:rPr>
            </w:pPr>
            <w:r>
              <w:rPr>
                <w:rFonts w:hint="eastAsia" w:ascii="宋体" w:cs="宋体"/>
                <w:b/>
                <w:bCs/>
                <w:color w:val="000000"/>
                <w:kern w:val="0"/>
                <w:sz w:val="24"/>
                <w:szCs w:val="24"/>
                <w:lang w:bidi="ar-SA"/>
              </w:rPr>
              <w:t>　</w:t>
            </w:r>
          </w:p>
          <w:p>
            <w:pPr>
              <w:widowControl/>
              <w:jc w:val="left"/>
              <w:rPr>
                <w:rFonts w:hint="eastAsia" w:ascii="宋体" w:cs="宋体"/>
                <w:b/>
                <w:bCs/>
                <w:color w:val="000000"/>
                <w:kern w:val="0"/>
                <w:sz w:val="24"/>
                <w:szCs w:val="24"/>
                <w:lang w:bidi="ar-SA"/>
              </w:rPr>
            </w:pPr>
            <w:r>
              <w:rPr>
                <w:rFonts w:hint="eastAsia" w:ascii="宋体" w:cs="宋体"/>
                <w:b/>
                <w:bCs/>
                <w:color w:val="000000"/>
                <w:kern w:val="0"/>
                <w:sz w:val="24"/>
                <w:szCs w:val="24"/>
                <w:lang w:bidi="ar-SA"/>
              </w:rPr>
              <w:t>　</w:t>
            </w:r>
          </w:p>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数字合并式功放</w:t>
            </w:r>
          </w:p>
        </w:tc>
        <w:tc>
          <w:tcPr>
            <w:tcW w:w="5413" w:type="dxa"/>
            <w:noWrap w:val="0"/>
            <w:vAlign w:val="center"/>
          </w:tcPr>
          <w:p>
            <w:pPr>
              <w:widowControl/>
              <w:jc w:val="left"/>
              <w:rPr>
                <w:rFonts w:hint="eastAsia" w:ascii="宋体" w:cs="宋体"/>
                <w:color w:val="000000"/>
                <w:kern w:val="0"/>
                <w:sz w:val="24"/>
                <w:szCs w:val="24"/>
                <w:lang w:bidi="ar-SA"/>
              </w:rPr>
            </w:pPr>
            <w:r>
              <w:rPr>
                <w:rFonts w:hint="eastAsia"/>
                <w:color w:val="000000"/>
                <w:sz w:val="24"/>
                <w:szCs w:val="24"/>
              </w:rPr>
              <w:t>1、具备高效节能开关电源与D类数字功率放大器相结合；</w:t>
            </w:r>
            <w:r>
              <w:rPr>
                <w:rFonts w:hint="eastAsia"/>
                <w:color w:val="000000"/>
                <w:sz w:val="24"/>
                <w:szCs w:val="24"/>
              </w:rPr>
              <w:br w:type="textWrapping"/>
            </w:r>
            <w:r>
              <w:rPr>
                <w:rFonts w:hint="eastAsia"/>
                <w:color w:val="000000"/>
                <w:sz w:val="24"/>
                <w:szCs w:val="24"/>
              </w:rPr>
              <w:t>2、各路输入具有独立音量调节，且总音量具有高音、低音调节及音量大小控制；</w:t>
            </w:r>
            <w:r>
              <w:rPr>
                <w:rFonts w:hint="eastAsia"/>
                <w:color w:val="000000"/>
                <w:sz w:val="24"/>
                <w:szCs w:val="24"/>
              </w:rPr>
              <w:br w:type="textWrapping"/>
            </w:r>
            <w:r>
              <w:rPr>
                <w:rFonts w:hint="eastAsia"/>
                <w:color w:val="000000"/>
                <w:sz w:val="24"/>
                <w:szCs w:val="24"/>
              </w:rPr>
              <w:t>3、支持mp3/TUNER/蓝牙遥控功能，自带遥控器控制；</w:t>
            </w:r>
            <w:r>
              <w:rPr>
                <w:rFonts w:hint="eastAsia"/>
                <w:color w:val="000000"/>
                <w:sz w:val="24"/>
                <w:szCs w:val="24"/>
              </w:rPr>
              <w:br w:type="textWrapping"/>
            </w:r>
            <w:r>
              <w:rPr>
                <w:rFonts w:hint="eastAsia"/>
                <w:color w:val="000000"/>
                <w:sz w:val="24"/>
                <w:szCs w:val="24"/>
              </w:rPr>
              <w:t>4、具有USB接口和SD卡接口，集成MP3播放模块，具有自动优先播放音频功能，数码屏可显示USB当前播放的曲目；</w:t>
            </w:r>
            <w:r>
              <w:rPr>
                <w:rFonts w:hint="eastAsia"/>
                <w:color w:val="000000"/>
                <w:sz w:val="24"/>
                <w:szCs w:val="24"/>
              </w:rPr>
              <w:br w:type="textWrapping"/>
            </w:r>
            <w:r>
              <w:rPr>
                <w:rFonts w:hint="eastAsia"/>
                <w:color w:val="000000"/>
                <w:sz w:val="24"/>
                <w:szCs w:val="24"/>
              </w:rPr>
              <w:t>5、集成蓝牙模块，支持通过蓝牙手机播放音乐功能；</w:t>
            </w:r>
            <w:r>
              <w:rPr>
                <w:rFonts w:hint="eastAsia"/>
                <w:color w:val="000000"/>
                <w:sz w:val="24"/>
                <w:szCs w:val="24"/>
              </w:rPr>
              <w:br w:type="textWrapping"/>
            </w:r>
            <w:r>
              <w:rPr>
                <w:rFonts w:hint="eastAsia"/>
                <w:color w:val="000000"/>
                <w:sz w:val="24"/>
                <w:szCs w:val="24"/>
              </w:rPr>
              <w:t>6、集成TUNER模块，具有FM收音机天线端口；</w:t>
            </w:r>
            <w:r>
              <w:rPr>
                <w:rFonts w:hint="eastAsia"/>
                <w:color w:val="000000"/>
                <w:sz w:val="24"/>
                <w:szCs w:val="24"/>
              </w:rPr>
              <w:br w:type="textWrapping"/>
            </w:r>
            <w:r>
              <w:rPr>
                <w:rFonts w:hint="eastAsia"/>
                <w:color w:val="000000"/>
                <w:sz w:val="24"/>
                <w:szCs w:val="24"/>
              </w:rPr>
              <w:t>7、具备≥1路EMC输入，≥2路AUX输入，≥4路MIC输入；</w:t>
            </w:r>
            <w:r>
              <w:rPr>
                <w:rFonts w:hint="eastAsia"/>
                <w:color w:val="000000"/>
                <w:sz w:val="24"/>
                <w:szCs w:val="24"/>
              </w:rPr>
              <w:br w:type="textWrapping"/>
            </w:r>
            <w:r>
              <w:rPr>
                <w:rFonts w:hint="eastAsia"/>
                <w:color w:val="000000"/>
                <w:sz w:val="24"/>
                <w:szCs w:val="24"/>
              </w:rPr>
              <w:t>8、通道优先功能EMC&gt;MIC1&gt;MIC2, MIC3,MIC4, AUX1, AUX2，MP3；</w:t>
            </w:r>
            <w:r>
              <w:rPr>
                <w:rFonts w:hint="eastAsia"/>
                <w:color w:val="000000"/>
                <w:sz w:val="24"/>
                <w:szCs w:val="24"/>
              </w:rPr>
              <w:br w:type="textWrapping"/>
            </w:r>
            <w:r>
              <w:rPr>
                <w:rFonts w:hint="eastAsia"/>
                <w:color w:val="000000"/>
                <w:sz w:val="24"/>
                <w:szCs w:val="24"/>
              </w:rPr>
              <w:t>9、支持2种输出方式：定压输出100V、4-16</w:t>
            </w:r>
            <w:r>
              <w:rPr>
                <w:rFonts w:cs="Calibri"/>
                <w:color w:val="000000"/>
                <w:sz w:val="24"/>
                <w:szCs w:val="24"/>
                <w:lang w:bidi="ar-SA"/>
              </w:rPr>
              <w:t>Ω</w:t>
            </w:r>
            <w:r>
              <w:rPr>
                <w:rFonts w:hint="eastAsia"/>
                <w:color w:val="000000"/>
                <w:sz w:val="24"/>
                <w:szCs w:val="24"/>
              </w:rPr>
              <w:t>；输出功率≥120W；</w:t>
            </w:r>
            <w:r>
              <w:rPr>
                <w:rFonts w:hint="eastAsia"/>
                <w:color w:val="000000"/>
                <w:sz w:val="24"/>
                <w:szCs w:val="24"/>
              </w:rPr>
              <w:br w:type="textWrapping"/>
            </w:r>
            <w:r>
              <w:rPr>
                <w:rFonts w:hint="eastAsia"/>
                <w:color w:val="000000"/>
                <w:sz w:val="24"/>
                <w:szCs w:val="24"/>
              </w:rPr>
              <w:t>10、支持宽电压供电：180V-240V 能正常工作；</w:t>
            </w:r>
            <w:r>
              <w:rPr>
                <w:rFonts w:hint="eastAsia"/>
                <w:color w:val="000000"/>
                <w:sz w:val="24"/>
                <w:szCs w:val="24"/>
              </w:rPr>
              <w:br w:type="textWrapping"/>
            </w:r>
            <w:r>
              <w:rPr>
                <w:rFonts w:hint="eastAsia"/>
                <w:color w:val="000000"/>
                <w:sz w:val="24"/>
                <w:szCs w:val="24"/>
              </w:rPr>
              <w:t>11、频率响应：50Hz～16KHz，失真＜0.05%，低音:±10dB at 100Hz；高音:±10dB at 10KHz。</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台</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2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话筒</w:t>
            </w:r>
          </w:p>
        </w:tc>
        <w:tc>
          <w:tcPr>
            <w:tcW w:w="5413" w:type="dxa"/>
            <w:noWrap w:val="0"/>
            <w:vAlign w:val="center"/>
          </w:tcPr>
          <w:p>
            <w:pPr>
              <w:widowControl/>
              <w:jc w:val="left"/>
              <w:rPr>
                <w:color w:val="000000"/>
                <w:sz w:val="24"/>
                <w:szCs w:val="24"/>
              </w:rPr>
            </w:pPr>
            <w:r>
              <w:rPr>
                <w:rFonts w:hint="eastAsia"/>
                <w:color w:val="000000"/>
                <w:sz w:val="24"/>
                <w:szCs w:val="24"/>
              </w:rPr>
              <w:t>1、换能方式：驻极体，指向性：心型指向；</w:t>
            </w:r>
          </w:p>
          <w:p>
            <w:pPr>
              <w:widowControl/>
              <w:jc w:val="left"/>
              <w:rPr>
                <w:color w:val="000000"/>
                <w:sz w:val="24"/>
                <w:szCs w:val="24"/>
              </w:rPr>
            </w:pPr>
            <w:r>
              <w:rPr>
                <w:color w:val="000000"/>
                <w:sz w:val="24"/>
                <w:szCs w:val="24"/>
              </w:rPr>
              <w:t>2</w:t>
            </w:r>
            <w:r>
              <w:rPr>
                <w:rFonts w:hint="eastAsia"/>
                <w:color w:val="000000"/>
                <w:sz w:val="24"/>
                <w:szCs w:val="24"/>
              </w:rPr>
              <w:t>、频率响应：40Hz-16kHz，灵敏度：-43dB±2dB，前奏音灵敏度：-50dB±2dB；</w:t>
            </w:r>
          </w:p>
          <w:p>
            <w:pPr>
              <w:widowControl/>
              <w:jc w:val="left"/>
              <w:rPr>
                <w:color w:val="000000"/>
                <w:sz w:val="24"/>
                <w:szCs w:val="24"/>
              </w:rPr>
            </w:pPr>
            <w:r>
              <w:rPr>
                <w:color w:val="000000"/>
                <w:sz w:val="24"/>
                <w:szCs w:val="24"/>
              </w:rPr>
              <w:t>3</w:t>
            </w:r>
            <w:r>
              <w:rPr>
                <w:rFonts w:hint="eastAsia"/>
                <w:color w:val="000000"/>
                <w:sz w:val="24"/>
                <w:szCs w:val="24"/>
              </w:rPr>
              <w:t>、钟声提示：带钟声提示功能；</w:t>
            </w:r>
          </w:p>
          <w:p>
            <w:pPr>
              <w:widowControl/>
              <w:jc w:val="left"/>
              <w:rPr>
                <w:rFonts w:hint="eastAsia" w:ascii="宋体" w:cs="宋体"/>
                <w:color w:val="000000"/>
                <w:kern w:val="0"/>
                <w:sz w:val="24"/>
                <w:szCs w:val="24"/>
                <w:lang w:bidi="ar-SA"/>
              </w:rPr>
            </w:pPr>
            <w:r>
              <w:rPr>
                <w:color w:val="000000"/>
                <w:sz w:val="24"/>
                <w:szCs w:val="24"/>
              </w:rPr>
              <w:t>4</w:t>
            </w:r>
            <w:r>
              <w:rPr>
                <w:rFonts w:hint="eastAsia"/>
                <w:color w:val="000000"/>
                <w:sz w:val="24"/>
                <w:szCs w:val="24"/>
              </w:rPr>
              <w:t>、线材配备：≥10米（卡农母头转6.35音频线）</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台</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3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天花喇叭</w:t>
            </w:r>
          </w:p>
        </w:tc>
        <w:tc>
          <w:tcPr>
            <w:tcW w:w="5413" w:type="dxa"/>
            <w:noWrap w:val="0"/>
            <w:vAlign w:val="center"/>
          </w:tcPr>
          <w:p>
            <w:pPr>
              <w:widowControl/>
              <w:jc w:val="left"/>
              <w:rPr>
                <w:rFonts w:hint="eastAsia" w:ascii="宋体" w:cs="宋体"/>
                <w:color w:val="000000"/>
                <w:kern w:val="0"/>
                <w:sz w:val="24"/>
                <w:szCs w:val="24"/>
                <w:lang w:bidi="ar-SA"/>
              </w:rPr>
            </w:pPr>
            <w:r>
              <w:rPr>
                <w:rFonts w:hint="eastAsia"/>
                <w:color w:val="000000"/>
                <w:sz w:val="24"/>
                <w:szCs w:val="24"/>
              </w:rPr>
              <w:t>1、额定功率：(100V)1.5W,3W,6W，额定功率：(70V)0.75W,1.5W,3W；</w:t>
            </w:r>
            <w:r>
              <w:rPr>
                <w:rFonts w:hint="eastAsia"/>
                <w:color w:val="000000"/>
                <w:sz w:val="24"/>
                <w:szCs w:val="24"/>
              </w:rPr>
              <w:br w:type="textWrapping"/>
            </w:r>
            <w:r>
              <w:rPr>
                <w:color w:val="000000"/>
                <w:sz w:val="24"/>
                <w:szCs w:val="24"/>
              </w:rPr>
              <w:t>2</w:t>
            </w:r>
            <w:r>
              <w:rPr>
                <w:rFonts w:hint="eastAsia"/>
                <w:color w:val="000000"/>
                <w:sz w:val="24"/>
                <w:szCs w:val="24"/>
              </w:rPr>
              <w:t>、阻抗：黑：Com红：6.7K</w:t>
            </w:r>
            <w:r>
              <w:rPr>
                <w:rFonts w:cs="Calibri"/>
                <w:color w:val="000000"/>
                <w:sz w:val="24"/>
                <w:szCs w:val="24"/>
                <w:lang w:bidi="ar-SA"/>
              </w:rPr>
              <w:t>Ω</w:t>
            </w:r>
            <w:r>
              <w:rPr>
                <w:rFonts w:hint="eastAsia"/>
                <w:color w:val="000000"/>
                <w:sz w:val="24"/>
                <w:szCs w:val="24"/>
              </w:rPr>
              <w:t>绿：3.3K</w:t>
            </w:r>
            <w:r>
              <w:rPr>
                <w:rFonts w:cs="Calibri"/>
                <w:color w:val="000000"/>
                <w:sz w:val="24"/>
                <w:szCs w:val="24"/>
                <w:lang w:bidi="ar-SA"/>
              </w:rPr>
              <w:t>Ω</w:t>
            </w:r>
            <w:r>
              <w:rPr>
                <w:rFonts w:hint="eastAsia"/>
                <w:color w:val="000000"/>
                <w:sz w:val="24"/>
                <w:szCs w:val="24"/>
              </w:rPr>
              <w:t>白：1.7K</w:t>
            </w:r>
            <w:r>
              <w:rPr>
                <w:rFonts w:cs="Calibri"/>
                <w:color w:val="000000"/>
                <w:sz w:val="24"/>
                <w:szCs w:val="24"/>
                <w:lang w:bidi="ar-SA"/>
              </w:rPr>
              <w:t>Ω</w:t>
            </w:r>
            <w:r>
              <w:rPr>
                <w:rFonts w:hint="eastAsia"/>
                <w:color w:val="000000"/>
                <w:sz w:val="24"/>
                <w:szCs w:val="24"/>
              </w:rPr>
              <w:t>；</w:t>
            </w:r>
            <w:r>
              <w:rPr>
                <w:rFonts w:hint="eastAsia"/>
                <w:color w:val="000000"/>
                <w:sz w:val="24"/>
                <w:szCs w:val="24"/>
              </w:rPr>
              <w:br w:type="textWrapping"/>
            </w:r>
            <w:r>
              <w:rPr>
                <w:color w:val="000000"/>
                <w:sz w:val="24"/>
                <w:szCs w:val="24"/>
              </w:rPr>
              <w:t>3</w:t>
            </w:r>
            <w:r>
              <w:rPr>
                <w:rFonts w:hint="eastAsia"/>
                <w:color w:val="000000"/>
                <w:sz w:val="24"/>
                <w:szCs w:val="24"/>
              </w:rPr>
              <w:t>、灵敏度(1W/1M)：≥92dB，频率响应(-10dB)：110-18KHz；</w:t>
            </w:r>
            <w:r>
              <w:rPr>
                <w:rFonts w:hint="eastAsia"/>
                <w:color w:val="000000"/>
                <w:sz w:val="24"/>
                <w:szCs w:val="24"/>
              </w:rPr>
              <w:br w:type="textWrapping"/>
            </w:r>
            <w:r>
              <w:rPr>
                <w:color w:val="000000"/>
                <w:sz w:val="24"/>
                <w:szCs w:val="24"/>
              </w:rPr>
              <w:t>4</w:t>
            </w:r>
            <w:r>
              <w:rPr>
                <w:rFonts w:hint="eastAsia"/>
                <w:color w:val="000000"/>
                <w:sz w:val="24"/>
                <w:szCs w:val="24"/>
              </w:rPr>
              <w:t>、喇叭单元：5"≥1个。</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9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台</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4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机柜</w:t>
            </w:r>
          </w:p>
        </w:tc>
        <w:tc>
          <w:tcPr>
            <w:tcW w:w="5413" w:type="dxa"/>
            <w:noWrap w:val="0"/>
            <w:vAlign w:val="center"/>
          </w:tcPr>
          <w:p>
            <w:pPr>
              <w:widowControl/>
              <w:jc w:val="left"/>
              <w:rPr>
                <w:rFonts w:hint="eastAsia" w:ascii="宋体" w:cs="宋体"/>
                <w:color w:val="000000"/>
                <w:kern w:val="0"/>
                <w:sz w:val="24"/>
                <w:szCs w:val="24"/>
                <w:lang w:bidi="ar-SA"/>
              </w:rPr>
            </w:pPr>
            <w:r>
              <w:rPr>
                <w:rFonts w:hint="eastAsia"/>
                <w:color w:val="000000"/>
                <w:sz w:val="24"/>
                <w:szCs w:val="24"/>
              </w:rPr>
              <w:t>规格：12U机柜。</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台</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5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辅材</w:t>
            </w:r>
          </w:p>
        </w:tc>
        <w:tc>
          <w:tcPr>
            <w:tcW w:w="5413" w:type="dxa"/>
            <w:noWrap w:val="0"/>
            <w:vAlign w:val="center"/>
          </w:tcPr>
          <w:p>
            <w:pPr>
              <w:widowControl/>
              <w:jc w:val="left"/>
              <w:rPr>
                <w:rFonts w:hint="eastAsia" w:ascii="宋体" w:cs="宋体"/>
                <w:color w:val="000000"/>
                <w:kern w:val="0"/>
                <w:sz w:val="24"/>
                <w:szCs w:val="24"/>
                <w:lang w:bidi="ar-SA"/>
              </w:rPr>
            </w:pPr>
            <w:r>
              <w:rPr>
                <w:rFonts w:hint="eastAsia"/>
                <w:color w:val="000000"/>
                <w:sz w:val="24"/>
                <w:szCs w:val="24"/>
              </w:rPr>
              <w:t>包括：音频连接线、广播室内音箱线、电源线、镀锌钢管等。</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套</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trPr>
        <w:tc>
          <w:tcPr>
            <w:tcW w:w="7076" w:type="dxa"/>
            <w:gridSpan w:val="3"/>
            <w:noWrap w:val="0"/>
            <w:vAlign w:val="center"/>
          </w:tcPr>
          <w:p>
            <w:pPr>
              <w:widowControl/>
              <w:jc w:val="left"/>
              <w:rPr>
                <w:rFonts w:hint="eastAsia" w:ascii="宋体" w:cs="宋体"/>
                <w:b/>
                <w:bCs/>
                <w:color w:val="000000"/>
                <w:kern w:val="0"/>
                <w:sz w:val="24"/>
                <w:szCs w:val="24"/>
                <w:lang w:bidi="ar-SA"/>
              </w:rPr>
            </w:pPr>
            <w:r>
              <w:rPr>
                <w:rFonts w:hint="eastAsia" w:ascii="宋体" w:cs="宋体"/>
                <w:b/>
                <w:bCs/>
                <w:color w:val="000000"/>
                <w:kern w:val="0"/>
                <w:sz w:val="24"/>
                <w:szCs w:val="24"/>
                <w:lang w:bidi="ar-SA"/>
              </w:rPr>
              <w:t>三）大厅信息发布系统</w:t>
            </w:r>
          </w:p>
        </w:tc>
        <w:tc>
          <w:tcPr>
            <w:tcW w:w="640" w:type="dxa"/>
            <w:noWrap w:val="0"/>
            <w:vAlign w:val="center"/>
          </w:tcPr>
          <w:p>
            <w:pPr>
              <w:widowControl/>
              <w:jc w:val="left"/>
              <w:rPr>
                <w:rFonts w:hint="eastAsia" w:ascii="宋体" w:cs="宋体"/>
                <w:b/>
                <w:bCs/>
                <w:color w:val="000000"/>
                <w:kern w:val="0"/>
                <w:sz w:val="24"/>
                <w:szCs w:val="24"/>
                <w:lang w:bidi="ar-SA"/>
              </w:rPr>
            </w:pPr>
            <w:r>
              <w:rPr>
                <w:rFonts w:hint="eastAsia" w:ascii="宋体" w:cs="宋体"/>
                <w:b/>
                <w:bCs/>
                <w:color w:val="000000"/>
                <w:kern w:val="0"/>
                <w:sz w:val="24"/>
                <w:szCs w:val="24"/>
                <w:lang w:bidi="ar-SA"/>
              </w:rPr>
              <w:t>　</w:t>
            </w:r>
          </w:p>
        </w:tc>
        <w:tc>
          <w:tcPr>
            <w:tcW w:w="656" w:type="dxa"/>
            <w:noWrap w:val="0"/>
            <w:vAlign w:val="center"/>
          </w:tcPr>
          <w:p>
            <w:pPr>
              <w:widowControl/>
              <w:jc w:val="left"/>
              <w:rPr>
                <w:rFonts w:hint="eastAsia" w:ascii="宋体" w:cs="宋体"/>
                <w:b/>
                <w:bCs/>
                <w:color w:val="000000"/>
                <w:kern w:val="0"/>
                <w:sz w:val="24"/>
                <w:szCs w:val="24"/>
                <w:lang w:bidi="ar-SA"/>
              </w:rPr>
            </w:pPr>
            <w:r>
              <w:rPr>
                <w:rFonts w:hint="eastAsia" w:ascii="宋体" w:cs="宋体"/>
                <w:b/>
                <w:bCs/>
                <w:color w:val="000000"/>
                <w:kern w:val="0"/>
                <w:sz w:val="24"/>
                <w:szCs w:val="24"/>
                <w:lang w:bidi="ar-SA"/>
              </w:rPr>
              <w:t>　</w:t>
            </w:r>
          </w:p>
          <w:p>
            <w:pPr>
              <w:widowControl/>
              <w:jc w:val="left"/>
              <w:rPr>
                <w:rFonts w:hint="eastAsia" w:ascii="宋体" w:cs="宋体"/>
                <w:b/>
                <w:bCs/>
                <w:color w:val="000000"/>
                <w:kern w:val="0"/>
                <w:sz w:val="24"/>
                <w:szCs w:val="24"/>
                <w:lang w:bidi="ar-SA"/>
              </w:rPr>
            </w:pPr>
            <w:r>
              <w:rPr>
                <w:rFonts w:hint="eastAsia" w:ascii="宋体" w:cs="宋体"/>
                <w:b/>
                <w:bCs/>
                <w:color w:val="000000"/>
                <w:kern w:val="0"/>
                <w:sz w:val="24"/>
                <w:szCs w:val="24"/>
                <w:lang w:bidi="ar-SA"/>
              </w:rPr>
              <w:t>　</w:t>
            </w:r>
          </w:p>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076" w:type="dxa"/>
            <w:gridSpan w:val="3"/>
            <w:noWrap w:val="0"/>
            <w:vAlign w:val="center"/>
          </w:tcPr>
          <w:p>
            <w:pPr>
              <w:widowControl/>
              <w:jc w:val="left"/>
              <w:rPr>
                <w:rFonts w:hint="eastAsia" w:ascii="宋体" w:cs="宋体"/>
                <w:b/>
                <w:bCs/>
                <w:color w:val="000000"/>
                <w:kern w:val="0"/>
                <w:sz w:val="24"/>
                <w:szCs w:val="24"/>
                <w:lang w:bidi="ar-SA"/>
              </w:rPr>
            </w:pPr>
            <w:r>
              <w:rPr>
                <w:rFonts w:hint="eastAsia" w:ascii="宋体" w:cs="宋体"/>
                <w:b/>
                <w:bCs/>
                <w:color w:val="000000"/>
                <w:kern w:val="0"/>
                <w:sz w:val="24"/>
                <w:szCs w:val="24"/>
                <w:lang w:bidi="ar-SA"/>
              </w:rPr>
              <w:t>四）智能安检系统</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w:t>
            </w:r>
          </w:p>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w:t>
            </w:r>
          </w:p>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1</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辅材热成像测温人脸安检门</w:t>
            </w:r>
          </w:p>
        </w:tc>
        <w:tc>
          <w:tcPr>
            <w:tcW w:w="5413" w:type="dxa"/>
            <w:noWrap w:val="0"/>
            <w:vAlign w:val="center"/>
          </w:tcPr>
          <w:p>
            <w:pPr>
              <w:widowControl/>
              <w:jc w:val="left"/>
              <w:rPr>
                <w:color w:val="000000"/>
                <w:kern w:val="0"/>
                <w:sz w:val="24"/>
                <w:szCs w:val="24"/>
              </w:rPr>
            </w:pPr>
            <w:r>
              <w:rPr>
                <w:rFonts w:hint="eastAsia"/>
                <w:color w:val="000000"/>
                <w:sz w:val="24"/>
                <w:szCs w:val="24"/>
              </w:rPr>
              <w:t xml:space="preserve">1、支持通过人员金属检测、人脸抓拍、热成像非接触式测温功能；门体具有≥4寸LCD屏+LED屏，可显示通过人数、金属报警人数、实时温度等数据；，支持对通过安检门的人员脸部测温并进行人员匹配，温度精度≥±0.5℃，测试距离≥0.3 米-3 米，测试人员身高≥1.45米-1.85 米； </w:t>
            </w:r>
            <w:r>
              <w:rPr>
                <w:rFonts w:hint="eastAsia"/>
                <w:color w:val="000000"/>
                <w:sz w:val="24"/>
                <w:szCs w:val="24"/>
              </w:rPr>
              <w:br w:type="textWrapping"/>
            </w:r>
            <w:r>
              <w:rPr>
                <w:color w:val="000000"/>
                <w:sz w:val="24"/>
                <w:szCs w:val="24"/>
              </w:rPr>
              <w:t>2</w:t>
            </w:r>
            <w:r>
              <w:rPr>
                <w:rFonts w:hint="eastAsia"/>
                <w:color w:val="000000"/>
                <w:sz w:val="24"/>
                <w:szCs w:val="24"/>
              </w:rPr>
              <w:t>、热成像采用非制冷型探测器，像元尺寸≥ 17</w:t>
            </w:r>
            <w:r>
              <w:rPr>
                <w:rFonts w:cs="Calibri"/>
                <w:color w:val="000000"/>
                <w:sz w:val="24"/>
                <w:szCs w:val="24"/>
                <w:lang w:bidi="ar-SA"/>
              </w:rPr>
              <w:t>μ</w:t>
            </w:r>
            <w:r>
              <w:rPr>
                <w:rFonts w:hint="eastAsia"/>
                <w:color w:val="000000"/>
                <w:sz w:val="24"/>
                <w:szCs w:val="24"/>
              </w:rPr>
              <w:t xml:space="preserve">m，最大图像尺寸≥160×120，热成像镜头焦距≥3mm，视场角≤50°×38°，可见光采用≥1/2.7英寸CMOS传感器，支持H.265/H.264/MJPEG编码，图像分辨率和帧率≥2688×1520@25fps，金属检测功能可检测到 1 个回形针大小的金属，≥12个防区，支持对通过安检门的人员进行人脸抓拍，抓拍成功率≥99%；支持报警、人脸、客流、通过人员和温度等数据上传平台进行汇聚应用； </w:t>
            </w:r>
            <w:r>
              <w:rPr>
                <w:rFonts w:hint="eastAsia"/>
                <w:color w:val="000000"/>
                <w:sz w:val="24"/>
                <w:szCs w:val="24"/>
              </w:rPr>
              <w:br w:type="textWrapping"/>
            </w:r>
            <w:r>
              <w:rPr>
                <w:color w:val="000000"/>
                <w:sz w:val="24"/>
                <w:szCs w:val="24"/>
              </w:rPr>
              <w:t>3</w:t>
            </w:r>
            <w:r>
              <w:rPr>
                <w:rFonts w:hint="eastAsia"/>
                <w:color w:val="000000"/>
                <w:sz w:val="24"/>
                <w:szCs w:val="24"/>
              </w:rPr>
              <w:t>、★测温误差≤±0.5℃，报警响应时间≤200ms（需提供</w:t>
            </w:r>
            <w:r>
              <w:rPr>
                <w:rFonts w:hint="eastAsia"/>
                <w:color w:val="000000"/>
                <w:sz w:val="24"/>
                <w:szCs w:val="24"/>
                <w:lang w:val="en-US" w:eastAsia="zh-Hans"/>
              </w:rPr>
              <w:t>产品功能截图</w:t>
            </w:r>
            <w:r>
              <w:rPr>
                <w:rFonts w:hint="eastAsia"/>
                <w:color w:val="000000"/>
                <w:sz w:val="24"/>
                <w:szCs w:val="24"/>
              </w:rPr>
              <w:t>）；</w:t>
            </w:r>
            <w:r>
              <w:rPr>
                <w:rFonts w:hint="eastAsia"/>
                <w:color w:val="000000"/>
                <w:sz w:val="24"/>
                <w:szCs w:val="24"/>
              </w:rPr>
              <w:br w:type="textWrapping"/>
            </w:r>
            <w:r>
              <w:rPr>
                <w:color w:val="000000"/>
                <w:sz w:val="24"/>
                <w:szCs w:val="24"/>
              </w:rPr>
              <w:t>4</w:t>
            </w:r>
            <w:r>
              <w:rPr>
                <w:rFonts w:hint="eastAsia"/>
                <w:color w:val="000000"/>
                <w:sz w:val="24"/>
                <w:szCs w:val="24"/>
              </w:rPr>
              <w:t>、★具有计数统计功能，能可靠的记录有效受检人数和发生过报警的人次（需提供</w:t>
            </w:r>
            <w:r>
              <w:rPr>
                <w:rFonts w:hint="eastAsia"/>
                <w:color w:val="000000"/>
                <w:sz w:val="24"/>
                <w:szCs w:val="24"/>
                <w:lang w:val="en-US" w:eastAsia="zh-Hans"/>
              </w:rPr>
              <w:t>产品功能截图</w:t>
            </w:r>
            <w:r>
              <w:rPr>
                <w:rFonts w:hint="eastAsia"/>
                <w:color w:val="000000"/>
                <w:sz w:val="24"/>
                <w:szCs w:val="24"/>
              </w:rPr>
              <w:t>）；</w:t>
            </w:r>
            <w:r>
              <w:rPr>
                <w:rFonts w:hint="eastAsia"/>
                <w:color w:val="000000"/>
                <w:sz w:val="24"/>
                <w:szCs w:val="24"/>
              </w:rPr>
              <w:br w:type="textWrapping"/>
            </w:r>
            <w:r>
              <w:rPr>
                <w:color w:val="000000"/>
                <w:sz w:val="24"/>
                <w:szCs w:val="24"/>
              </w:rPr>
              <w:t>5</w:t>
            </w:r>
            <w:r>
              <w:rPr>
                <w:rFonts w:hint="eastAsia"/>
                <w:color w:val="000000"/>
                <w:sz w:val="24"/>
                <w:szCs w:val="24"/>
              </w:rPr>
              <w:t>、★当通过人员体温大于预设值时，支持联动抓图、图片上传（叠加测温结果）、发出语音提示、白光闪烁（需提供</w:t>
            </w:r>
            <w:r>
              <w:rPr>
                <w:rFonts w:hint="eastAsia"/>
                <w:color w:val="000000"/>
                <w:sz w:val="24"/>
                <w:szCs w:val="24"/>
                <w:lang w:val="en-US" w:eastAsia="zh-Hans"/>
              </w:rPr>
              <w:t>产品功能截图</w:t>
            </w:r>
            <w:r>
              <w:rPr>
                <w:rFonts w:hint="eastAsia"/>
                <w:color w:val="000000"/>
                <w:sz w:val="24"/>
                <w:szCs w:val="24"/>
              </w:rPr>
              <w:t>）；</w:t>
            </w:r>
            <w:r>
              <w:rPr>
                <w:rFonts w:hint="eastAsia"/>
                <w:color w:val="000000"/>
                <w:sz w:val="24"/>
                <w:szCs w:val="24"/>
              </w:rPr>
              <w:br w:type="textWrapping"/>
            </w:r>
            <w:r>
              <w:rPr>
                <w:color w:val="000000"/>
                <w:sz w:val="24"/>
                <w:szCs w:val="24"/>
              </w:rPr>
              <w:t>6</w:t>
            </w:r>
            <w:r>
              <w:rPr>
                <w:rFonts w:hint="eastAsia"/>
                <w:color w:val="000000"/>
                <w:sz w:val="24"/>
                <w:szCs w:val="24"/>
              </w:rPr>
              <w:t xml:space="preserve">、需具有≥1个RJ4510M/100M自适应以太网口、≥1对音频输入/输出接口、≥1对报警输入输出接口、≥1个Micro SD卡接口； </w:t>
            </w:r>
            <w:r>
              <w:rPr>
                <w:rFonts w:hint="eastAsia"/>
                <w:color w:val="000000"/>
                <w:sz w:val="24"/>
                <w:szCs w:val="24"/>
              </w:rPr>
              <w:br w:type="textWrapping"/>
            </w:r>
            <w:r>
              <w:rPr>
                <w:color w:val="000000"/>
                <w:sz w:val="24"/>
                <w:szCs w:val="24"/>
              </w:rPr>
              <w:t>7</w:t>
            </w:r>
            <w:r>
              <w:rPr>
                <w:rFonts w:hint="eastAsia"/>
                <w:color w:val="000000"/>
                <w:sz w:val="24"/>
                <w:szCs w:val="24"/>
              </w:rPr>
              <w:t xml:space="preserve">、内置红外补光灯，补光距离需≥15米，摄像机工作温度支持5℃~40℃，通道尺寸＞2000(高)x720(宽)mm。 </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台</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076" w:type="dxa"/>
            <w:gridSpan w:val="3"/>
            <w:noWrap w:val="0"/>
            <w:vAlign w:val="center"/>
          </w:tcPr>
          <w:p>
            <w:pPr>
              <w:widowControl/>
              <w:jc w:val="left"/>
              <w:rPr>
                <w:rFonts w:hint="eastAsia" w:ascii="宋体" w:cs="宋体"/>
                <w:b/>
                <w:bCs/>
                <w:color w:val="000000"/>
                <w:kern w:val="0"/>
                <w:sz w:val="24"/>
                <w:szCs w:val="24"/>
                <w:lang w:bidi="ar-SA"/>
              </w:rPr>
            </w:pPr>
            <w:r>
              <w:rPr>
                <w:rFonts w:hint="eastAsia" w:ascii="宋体" w:cs="宋体"/>
                <w:b/>
                <w:bCs/>
                <w:color w:val="000000"/>
                <w:kern w:val="0"/>
                <w:sz w:val="24"/>
                <w:szCs w:val="24"/>
                <w:lang w:bidi="ar-SA"/>
              </w:rPr>
              <w:t>五）服务终端设备</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w:t>
            </w:r>
          </w:p>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w:t>
            </w:r>
          </w:p>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kern w:val="0"/>
                <w:sz w:val="24"/>
                <w:szCs w:val="24"/>
                <w:lang w:bidi="ar-SA"/>
              </w:rPr>
            </w:pPr>
            <w:r>
              <w:rPr>
                <w:rFonts w:hint="eastAsia" w:ascii="宋体" w:cs="宋体"/>
                <w:kern w:val="0"/>
                <w:sz w:val="24"/>
                <w:szCs w:val="24"/>
                <w:lang w:bidi="ar-SA"/>
              </w:rPr>
              <w:t xml:space="preserve">1 </w:t>
            </w:r>
          </w:p>
        </w:tc>
        <w:tc>
          <w:tcPr>
            <w:tcW w:w="1273" w:type="dxa"/>
            <w:noWrap w:val="0"/>
            <w:vAlign w:val="center"/>
          </w:tcPr>
          <w:p>
            <w:pPr>
              <w:widowControl/>
              <w:jc w:val="center"/>
              <w:rPr>
                <w:rFonts w:hint="eastAsia" w:ascii="宋体" w:cs="宋体"/>
                <w:kern w:val="0"/>
                <w:sz w:val="24"/>
                <w:szCs w:val="24"/>
                <w:lang w:bidi="ar-SA"/>
              </w:rPr>
            </w:pPr>
            <w:r>
              <w:rPr>
                <w:rFonts w:hint="eastAsia" w:ascii="宋体" w:cs="宋体"/>
                <w:kern w:val="0"/>
                <w:sz w:val="24"/>
                <w:szCs w:val="24"/>
                <w:lang w:bidi="ar-SA"/>
              </w:rPr>
              <w:t>退役军人自助服务终端</w:t>
            </w:r>
          </w:p>
        </w:tc>
        <w:tc>
          <w:tcPr>
            <w:tcW w:w="5413" w:type="dxa"/>
            <w:noWrap w:val="0"/>
            <w:vAlign w:val="center"/>
          </w:tcPr>
          <w:p>
            <w:pPr>
              <w:widowControl/>
              <w:jc w:val="left"/>
              <w:rPr>
                <w:rFonts w:hint="eastAsia" w:ascii="宋体" w:cs="宋体"/>
                <w:kern w:val="0"/>
                <w:sz w:val="24"/>
                <w:szCs w:val="24"/>
                <w:lang w:bidi="ar-SA"/>
              </w:rPr>
            </w:pPr>
            <w:r>
              <w:rPr>
                <w:rFonts w:hint="eastAsia"/>
                <w:sz w:val="24"/>
                <w:szCs w:val="24"/>
              </w:rPr>
              <w:t>1、触摸显示屏：≥32寸高清液晶显示器，10点电容触摸屏（寿命≥6000万次）,分辩率≥1920*1080，亮度≥300流明，对比度≥1000:1，响应时间≤5毫秒，背光寿命≥4万小时；</w:t>
            </w:r>
            <w:r>
              <w:rPr>
                <w:rFonts w:hint="eastAsia"/>
                <w:sz w:val="24"/>
                <w:szCs w:val="24"/>
              </w:rPr>
              <w:br w:type="textWrapping"/>
            </w:r>
            <w:r>
              <w:rPr>
                <w:rFonts w:hint="eastAsia"/>
                <w:sz w:val="24"/>
                <w:szCs w:val="24"/>
              </w:rPr>
              <w:t>2、机柜材质：冷轧钢板，表面采用喷涂工艺，防磁，防锈，防静电；</w:t>
            </w:r>
            <w:r>
              <w:rPr>
                <w:rFonts w:hint="eastAsia"/>
                <w:sz w:val="24"/>
                <w:szCs w:val="24"/>
              </w:rPr>
              <w:br w:type="textWrapping"/>
            </w:r>
            <w:r>
              <w:rPr>
                <w:rFonts w:hint="eastAsia"/>
                <w:sz w:val="24"/>
                <w:szCs w:val="24"/>
              </w:rPr>
              <w:t>3、音箱：采用双声道，立体声环绕功放系统；</w:t>
            </w:r>
            <w:r>
              <w:rPr>
                <w:rFonts w:hint="eastAsia"/>
                <w:sz w:val="24"/>
                <w:szCs w:val="24"/>
              </w:rPr>
              <w:br w:type="textWrapping"/>
            </w:r>
            <w:r>
              <w:rPr>
                <w:rFonts w:hint="eastAsia"/>
                <w:sz w:val="24"/>
                <w:szCs w:val="24"/>
              </w:rPr>
              <w:t>4、工控主板：内存容量：≥8G，内存容量类型：DDR3或以上,存储容量（SSD固态硬盘）：≥128G ；</w:t>
            </w:r>
            <w:r>
              <w:rPr>
                <w:rFonts w:hint="eastAsia"/>
                <w:sz w:val="24"/>
                <w:szCs w:val="24"/>
              </w:rPr>
              <w:br w:type="textWrapping"/>
            </w:r>
            <w:r>
              <w:rPr>
                <w:rFonts w:hint="eastAsia"/>
                <w:sz w:val="24"/>
                <w:szCs w:val="24"/>
              </w:rPr>
              <w:t>5、打印机：≥250张容量纸盒；双目摄像头：支撑人脸识别，带红外活体检测功能；高拍仪：≥500万像素，A4幅面；热敏小票打印机；</w:t>
            </w:r>
            <w:r>
              <w:rPr>
                <w:rFonts w:hint="eastAsia"/>
                <w:sz w:val="24"/>
                <w:szCs w:val="24"/>
              </w:rPr>
              <w:br w:type="textWrapping"/>
            </w:r>
            <w:r>
              <w:rPr>
                <w:rFonts w:hint="eastAsia"/>
                <w:sz w:val="24"/>
                <w:szCs w:val="24"/>
              </w:rPr>
              <w:t>6、配置二维码扫描仪；</w:t>
            </w:r>
            <w:r>
              <w:rPr>
                <w:rFonts w:hint="eastAsia"/>
                <w:sz w:val="24"/>
                <w:szCs w:val="24"/>
              </w:rPr>
              <w:br w:type="textWrapping"/>
            </w:r>
            <w:r>
              <w:rPr>
                <w:rFonts w:hint="eastAsia"/>
                <w:sz w:val="24"/>
                <w:szCs w:val="24"/>
              </w:rPr>
              <w:t>7、配置二代证阅读器：符合ISO14443 Type B标准，保密模块：身份证核查系统专用模块；</w:t>
            </w:r>
            <w:r>
              <w:rPr>
                <w:rFonts w:hint="eastAsia"/>
                <w:sz w:val="24"/>
                <w:szCs w:val="24"/>
              </w:rPr>
              <w:br w:type="textWrapping"/>
            </w:r>
            <w:r>
              <w:rPr>
                <w:rFonts w:hint="eastAsia"/>
                <w:sz w:val="24"/>
                <w:szCs w:val="24"/>
              </w:rPr>
              <w:t>8、智能服务一体机集成触摸屏、证件扫描识别、摄像头（人脸识别）、打印机等模块，退役军人可以通过智能服务一体机实现身份验证、信息咨询、材料打印、业务办理、取号等功能。其业务办理的系统功能由退役军人咨询服务信息化平台提供，实现省市咨询服务工作的互联互通，业务服务工作实现省市县乡村多级的交办，转办，具备就业创业，教育培训等服务自助办理等功能。</w:t>
            </w:r>
          </w:p>
        </w:tc>
        <w:tc>
          <w:tcPr>
            <w:tcW w:w="640" w:type="dxa"/>
            <w:noWrap w:val="0"/>
            <w:vAlign w:val="center"/>
          </w:tcPr>
          <w:p>
            <w:pPr>
              <w:widowControl/>
              <w:jc w:val="center"/>
              <w:rPr>
                <w:rFonts w:hint="eastAsia" w:ascii="宋体" w:cs="宋体"/>
                <w:kern w:val="0"/>
                <w:sz w:val="24"/>
                <w:szCs w:val="24"/>
                <w:lang w:bidi="ar-SA"/>
              </w:rPr>
            </w:pPr>
            <w:r>
              <w:rPr>
                <w:rFonts w:hint="eastAsia" w:ascii="宋体" w:cs="宋体"/>
                <w:kern w:val="0"/>
                <w:sz w:val="24"/>
                <w:szCs w:val="24"/>
                <w:lang w:bidi="ar-SA"/>
              </w:rPr>
              <w:t xml:space="preserve">2 </w:t>
            </w:r>
          </w:p>
        </w:tc>
        <w:tc>
          <w:tcPr>
            <w:tcW w:w="656" w:type="dxa"/>
            <w:noWrap w:val="0"/>
            <w:vAlign w:val="center"/>
          </w:tcPr>
          <w:p>
            <w:pPr>
              <w:widowControl/>
              <w:jc w:val="center"/>
              <w:rPr>
                <w:rFonts w:hint="eastAsia" w:ascii="宋体" w:cs="宋体"/>
                <w:kern w:val="0"/>
                <w:sz w:val="24"/>
                <w:szCs w:val="24"/>
                <w:lang w:bidi="ar-SA"/>
              </w:rPr>
            </w:pPr>
            <w:r>
              <w:rPr>
                <w:rFonts w:hint="eastAsia" w:ascii="宋体" w:cs="宋体"/>
                <w:kern w:val="0"/>
                <w:sz w:val="24"/>
                <w:szCs w:val="24"/>
                <w:lang w:bidi="ar-SA"/>
              </w:rPr>
              <w:t>台</w:t>
            </w:r>
          </w:p>
        </w:tc>
        <w:tc>
          <w:tcPr>
            <w:tcW w:w="1590" w:type="dxa"/>
            <w:noWrap w:val="0"/>
            <w:vAlign w:val="center"/>
          </w:tcPr>
          <w:p>
            <w:pPr>
              <w:widowControl/>
              <w:jc w:val="left"/>
              <w:rPr>
                <w:rFonts w:hint="eastAsia" w:ascii="宋体" w:cs="宋体"/>
                <w:kern w:val="0"/>
                <w:sz w:val="24"/>
                <w:szCs w:val="24"/>
                <w:lang w:bidi="ar-SA"/>
              </w:rPr>
            </w:pPr>
            <w:r>
              <w:rPr>
                <w:rFonts w:hint="eastAsia" w:ascii="宋体" w:cs="宋体"/>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2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卧式触摸屏</w:t>
            </w:r>
          </w:p>
        </w:tc>
        <w:tc>
          <w:tcPr>
            <w:tcW w:w="5413" w:type="dxa"/>
            <w:noWrap w:val="0"/>
            <w:vAlign w:val="center"/>
          </w:tcPr>
          <w:p>
            <w:pPr>
              <w:widowControl/>
              <w:jc w:val="left"/>
              <w:rPr>
                <w:rFonts w:hint="eastAsia" w:ascii="宋体" w:cs="宋体"/>
                <w:color w:val="000000"/>
                <w:kern w:val="0"/>
                <w:sz w:val="24"/>
                <w:szCs w:val="24"/>
                <w:lang w:bidi="ar-SA"/>
              </w:rPr>
            </w:pPr>
            <w:r>
              <w:rPr>
                <w:rFonts w:hint="eastAsia"/>
                <w:color w:val="000000"/>
                <w:sz w:val="24"/>
                <w:szCs w:val="24"/>
              </w:rPr>
              <w:t>1、显示分辨率：不低于1920×1080；视角：水平≥178°,上下≥178°；响应时间：≤7ms；显示屏尺寸：≥65英寸；显示亮度：≥300cd/㎡；对比度：≥1200:1；刷新频率：≥60Hz；</w:t>
            </w:r>
            <w:r>
              <w:rPr>
                <w:rFonts w:hint="eastAsia"/>
                <w:color w:val="000000"/>
                <w:sz w:val="24"/>
                <w:szCs w:val="24"/>
              </w:rPr>
              <w:br w:type="textWrapping"/>
            </w:r>
            <w:r>
              <w:rPr>
                <w:rFonts w:hint="eastAsia"/>
                <w:color w:val="000000"/>
                <w:sz w:val="24"/>
                <w:szCs w:val="24"/>
              </w:rPr>
              <w:t>2、主机：主频≥2.6GHz,核心数：≥双核，线程数：≥四线程；内存容量：≥4GB，内存类型：DDR3或以上；存储容量（SSD硬盘）：≥128GB ；</w:t>
            </w:r>
            <w:r>
              <w:rPr>
                <w:rFonts w:hint="eastAsia"/>
                <w:color w:val="000000"/>
                <w:sz w:val="24"/>
                <w:szCs w:val="24"/>
              </w:rPr>
              <w:br w:type="textWrapping"/>
            </w:r>
            <w:r>
              <w:rPr>
                <w:rFonts w:hint="eastAsia"/>
                <w:color w:val="000000"/>
                <w:sz w:val="24"/>
                <w:szCs w:val="24"/>
              </w:rPr>
              <w:t>3、显卡、声卡、网卡集成，操作系统：正版操作系统；</w:t>
            </w:r>
            <w:r>
              <w:rPr>
                <w:rFonts w:hint="eastAsia"/>
                <w:color w:val="000000"/>
                <w:sz w:val="24"/>
                <w:szCs w:val="24"/>
              </w:rPr>
              <w:br w:type="textWrapping"/>
            </w:r>
            <w:r>
              <w:rPr>
                <w:color w:val="000000"/>
                <w:sz w:val="24"/>
                <w:szCs w:val="24"/>
              </w:rPr>
              <w:t>4</w:t>
            </w:r>
            <w:r>
              <w:rPr>
                <w:rFonts w:hint="eastAsia"/>
                <w:color w:val="000000"/>
                <w:sz w:val="24"/>
                <w:szCs w:val="24"/>
              </w:rPr>
              <w:t>、对外接口：USB≥4，RJ45≥1,HDMI≥1；喇叭：不少于2*5W；</w:t>
            </w:r>
            <w:r>
              <w:rPr>
                <w:rFonts w:hint="eastAsia"/>
                <w:color w:val="000000"/>
                <w:sz w:val="24"/>
                <w:szCs w:val="24"/>
              </w:rPr>
              <w:br w:type="textWrapping"/>
            </w:r>
            <w:r>
              <w:rPr>
                <w:color w:val="000000"/>
                <w:sz w:val="24"/>
                <w:szCs w:val="24"/>
              </w:rPr>
              <w:t>5</w:t>
            </w:r>
            <w:r>
              <w:rPr>
                <w:rFonts w:hint="eastAsia"/>
                <w:color w:val="000000"/>
                <w:sz w:val="24"/>
                <w:szCs w:val="24"/>
              </w:rPr>
              <w:t>、WIFI：内置WIFI，触摸：10点红外触摸。</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台</w:t>
            </w:r>
          </w:p>
        </w:tc>
        <w:tc>
          <w:tcPr>
            <w:tcW w:w="1590" w:type="dxa"/>
            <w:noWrap w:val="0"/>
            <w:vAlign w:val="bottom"/>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3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立式触摸屏</w:t>
            </w:r>
          </w:p>
        </w:tc>
        <w:tc>
          <w:tcPr>
            <w:tcW w:w="5413" w:type="dxa"/>
            <w:noWrap w:val="0"/>
            <w:vAlign w:val="center"/>
          </w:tcPr>
          <w:p>
            <w:pPr>
              <w:widowControl/>
              <w:jc w:val="left"/>
              <w:rPr>
                <w:rFonts w:hint="eastAsia" w:ascii="宋体" w:cs="宋体"/>
                <w:color w:val="000000"/>
                <w:kern w:val="0"/>
                <w:sz w:val="24"/>
                <w:szCs w:val="24"/>
                <w:lang w:bidi="ar-SA"/>
              </w:rPr>
            </w:pPr>
            <w:r>
              <w:rPr>
                <w:rFonts w:hint="eastAsia"/>
                <w:color w:val="000000"/>
                <w:sz w:val="24"/>
                <w:szCs w:val="24"/>
              </w:rPr>
              <w:t>1、显示分辨率：不低于1920×1080；视角：水平≥178°,上下≥178°；响应时间：≤8ms；显示屏尺寸：≥55英寸；显示亮度：≥300cd/㎡；对比度：≥1200:1；刷新频率：≥60Hz；</w:t>
            </w:r>
            <w:r>
              <w:rPr>
                <w:rFonts w:hint="eastAsia"/>
                <w:color w:val="000000"/>
                <w:sz w:val="24"/>
                <w:szCs w:val="24"/>
              </w:rPr>
              <w:br w:type="textWrapping"/>
            </w:r>
            <w:r>
              <w:rPr>
                <w:rFonts w:hint="eastAsia"/>
                <w:color w:val="000000"/>
                <w:sz w:val="24"/>
                <w:szCs w:val="24"/>
              </w:rPr>
              <w:t>2、主机：主频≥2.6GHz,核心数：≥双核，线程数：≥四线程；内存容量：≥4GB，内存类型：DDR3L或以上；存储容量（SSD硬盘）：≥128GB ；</w:t>
            </w:r>
            <w:r>
              <w:rPr>
                <w:rFonts w:hint="eastAsia"/>
                <w:color w:val="000000"/>
                <w:sz w:val="24"/>
                <w:szCs w:val="24"/>
              </w:rPr>
              <w:br w:type="textWrapping"/>
            </w:r>
            <w:r>
              <w:rPr>
                <w:rFonts w:hint="eastAsia"/>
                <w:color w:val="000000"/>
                <w:sz w:val="24"/>
                <w:szCs w:val="24"/>
              </w:rPr>
              <w:t>3、显卡、声卡、网卡集成，操作系统：正版操作系统；</w:t>
            </w:r>
            <w:r>
              <w:rPr>
                <w:rFonts w:hint="eastAsia"/>
                <w:color w:val="000000"/>
                <w:sz w:val="24"/>
                <w:szCs w:val="24"/>
              </w:rPr>
              <w:br w:type="textWrapping"/>
            </w:r>
            <w:r>
              <w:rPr>
                <w:color w:val="000000"/>
                <w:sz w:val="24"/>
                <w:szCs w:val="24"/>
              </w:rPr>
              <w:t>4</w:t>
            </w:r>
            <w:r>
              <w:rPr>
                <w:rFonts w:hint="eastAsia"/>
                <w:color w:val="000000"/>
                <w:sz w:val="24"/>
                <w:szCs w:val="24"/>
              </w:rPr>
              <w:t>、对外接口：USB≥4，RJ45≥1,HDMI≥1；喇叭：不少于2*5W；</w:t>
            </w:r>
            <w:r>
              <w:rPr>
                <w:rFonts w:hint="eastAsia"/>
                <w:color w:val="000000"/>
                <w:sz w:val="24"/>
                <w:szCs w:val="24"/>
              </w:rPr>
              <w:br w:type="textWrapping"/>
            </w:r>
            <w:r>
              <w:rPr>
                <w:color w:val="000000"/>
                <w:sz w:val="24"/>
                <w:szCs w:val="24"/>
              </w:rPr>
              <w:t>5</w:t>
            </w:r>
            <w:r>
              <w:rPr>
                <w:rFonts w:hint="eastAsia"/>
                <w:color w:val="000000"/>
                <w:sz w:val="24"/>
                <w:szCs w:val="24"/>
              </w:rPr>
              <w:t>、WIFI：内置WIFI，触摸：G+G电容触摸。</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台</w:t>
            </w:r>
          </w:p>
        </w:tc>
        <w:tc>
          <w:tcPr>
            <w:tcW w:w="1590" w:type="dxa"/>
            <w:noWrap w:val="0"/>
            <w:vAlign w:val="bottom"/>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4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多功能高拍仪</w:t>
            </w:r>
          </w:p>
        </w:tc>
        <w:tc>
          <w:tcPr>
            <w:tcW w:w="5413" w:type="dxa"/>
            <w:noWrap w:val="0"/>
            <w:vAlign w:val="center"/>
          </w:tcPr>
          <w:p>
            <w:pPr>
              <w:widowControl/>
              <w:jc w:val="left"/>
              <w:rPr>
                <w:rFonts w:hint="eastAsia" w:ascii="宋体" w:cs="宋体"/>
                <w:color w:val="000000"/>
                <w:kern w:val="0"/>
                <w:sz w:val="24"/>
                <w:szCs w:val="24"/>
                <w:lang w:bidi="ar-SA"/>
              </w:rPr>
            </w:pPr>
            <w:r>
              <w:rPr>
                <w:rFonts w:hint="eastAsia"/>
                <w:color w:val="000000"/>
                <w:sz w:val="24"/>
                <w:szCs w:val="24"/>
              </w:rPr>
              <w:t>1、主摄像头：像素≥500W，分辨率不小于2592*1944，出图响应时间≤1S，扫描幅面A4，定焦对焦方式，补光采用LED 正白色，触控开关，亮度三级可调；</w:t>
            </w:r>
            <w:r>
              <w:rPr>
                <w:rFonts w:hint="eastAsia"/>
                <w:color w:val="000000"/>
                <w:sz w:val="24"/>
                <w:szCs w:val="24"/>
              </w:rPr>
              <w:br w:type="textWrapping"/>
            </w:r>
            <w:r>
              <w:rPr>
                <w:rFonts w:hint="eastAsia"/>
                <w:color w:val="000000"/>
                <w:sz w:val="24"/>
                <w:szCs w:val="24"/>
              </w:rPr>
              <w:t>2、辅摄像头：像素≥200W，分辨率不小于1600*1200，出图响应时间≤1S，，定焦对焦方式，旋转角度≥270°，拍摄角度≥60°；</w:t>
            </w:r>
            <w:r>
              <w:rPr>
                <w:rFonts w:hint="eastAsia"/>
                <w:color w:val="000000"/>
                <w:sz w:val="24"/>
                <w:szCs w:val="24"/>
              </w:rPr>
              <w:br w:type="textWrapping"/>
            </w:r>
            <w:r>
              <w:rPr>
                <w:rFonts w:hint="eastAsia"/>
                <w:color w:val="000000"/>
                <w:sz w:val="24"/>
                <w:szCs w:val="24"/>
              </w:rPr>
              <w:t>3、接口与业务智能终端：USB 2.0以上接口，DC 12V电源接口，≥10 英寸TFT动态矩阵液晶屏，支持无源无线电磁响应技术，免电池无源无线电磁压感笔，集成二代证识别、指纹仪识别、SIM卡读写功能等功能。</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4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台</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076" w:type="dxa"/>
            <w:gridSpan w:val="3"/>
            <w:noWrap w:val="0"/>
            <w:vAlign w:val="center"/>
          </w:tcPr>
          <w:p>
            <w:pPr>
              <w:widowControl/>
              <w:jc w:val="left"/>
              <w:rPr>
                <w:rFonts w:hint="eastAsia" w:ascii="宋体" w:cs="宋体"/>
                <w:b/>
                <w:bCs/>
                <w:color w:val="000000"/>
                <w:kern w:val="0"/>
                <w:sz w:val="24"/>
                <w:szCs w:val="24"/>
                <w:lang w:bidi="ar-SA"/>
              </w:rPr>
            </w:pPr>
            <w:r>
              <w:rPr>
                <w:rFonts w:hint="eastAsia" w:ascii="宋体" w:cs="宋体"/>
                <w:b/>
                <w:bCs/>
                <w:color w:val="000000"/>
                <w:kern w:val="0"/>
                <w:sz w:val="24"/>
                <w:szCs w:val="24"/>
                <w:lang w:bidi="ar-SA"/>
              </w:rPr>
              <w:t>六）大厅适应性改造</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w:t>
            </w:r>
          </w:p>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w:t>
            </w:r>
          </w:p>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left"/>
              <w:rPr>
                <w:rFonts w:hint="eastAsia"/>
                <w:color w:val="000000"/>
                <w:sz w:val="24"/>
                <w:szCs w:val="24"/>
              </w:rPr>
            </w:pPr>
            <w:r>
              <w:rPr>
                <w:rFonts w:hint="eastAsia"/>
                <w:color w:val="000000"/>
                <w:sz w:val="24"/>
                <w:szCs w:val="24"/>
              </w:rPr>
              <w:t>1</w:t>
            </w:r>
          </w:p>
        </w:tc>
        <w:tc>
          <w:tcPr>
            <w:tcW w:w="1273" w:type="dxa"/>
            <w:noWrap w:val="0"/>
            <w:vAlign w:val="center"/>
          </w:tcPr>
          <w:p>
            <w:pPr>
              <w:widowControl/>
              <w:jc w:val="left"/>
              <w:rPr>
                <w:rFonts w:hint="eastAsia"/>
                <w:color w:val="000000"/>
                <w:sz w:val="24"/>
                <w:szCs w:val="24"/>
              </w:rPr>
            </w:pPr>
            <w:r>
              <w:rPr>
                <w:rFonts w:hint="eastAsia"/>
                <w:color w:val="000000"/>
                <w:sz w:val="24"/>
                <w:szCs w:val="24"/>
              </w:rPr>
              <w:t>服务台</w:t>
            </w:r>
          </w:p>
        </w:tc>
        <w:tc>
          <w:tcPr>
            <w:tcW w:w="5413" w:type="dxa"/>
            <w:noWrap w:val="0"/>
            <w:vAlign w:val="center"/>
          </w:tcPr>
          <w:p>
            <w:pPr>
              <w:widowControl/>
              <w:jc w:val="left"/>
              <w:rPr>
                <w:rFonts w:hint="eastAsia"/>
                <w:color w:val="000000"/>
                <w:sz w:val="24"/>
                <w:szCs w:val="24"/>
              </w:rPr>
            </w:pPr>
            <w:r>
              <w:rPr>
                <w:rFonts w:hint="eastAsia"/>
                <w:color w:val="000000"/>
                <w:sz w:val="24"/>
                <w:szCs w:val="24"/>
              </w:rPr>
              <w:t>面板1200*2400，阻燃复合木工板1200*2400、直钉螺丝+码钉螺丝+伸收拉杆+拉手+收边条  &lt;含机具耗费&gt;</w:t>
            </w:r>
          </w:p>
        </w:tc>
        <w:tc>
          <w:tcPr>
            <w:tcW w:w="640" w:type="dxa"/>
            <w:noWrap w:val="0"/>
            <w:vAlign w:val="center"/>
          </w:tcPr>
          <w:p>
            <w:pPr>
              <w:widowControl/>
              <w:jc w:val="left"/>
              <w:rPr>
                <w:rFonts w:hint="eastAsia"/>
                <w:color w:val="000000"/>
                <w:sz w:val="24"/>
                <w:szCs w:val="24"/>
              </w:rPr>
            </w:pPr>
            <w:r>
              <w:rPr>
                <w:rFonts w:hint="eastAsia"/>
                <w:color w:val="000000"/>
                <w:sz w:val="24"/>
                <w:szCs w:val="24"/>
              </w:rPr>
              <w:t>12.3</w:t>
            </w:r>
          </w:p>
        </w:tc>
        <w:tc>
          <w:tcPr>
            <w:tcW w:w="656" w:type="dxa"/>
            <w:noWrap w:val="0"/>
            <w:vAlign w:val="center"/>
          </w:tcPr>
          <w:p>
            <w:pPr>
              <w:widowControl/>
              <w:jc w:val="left"/>
              <w:rPr>
                <w:rFonts w:hint="eastAsia"/>
                <w:color w:val="000000"/>
                <w:sz w:val="24"/>
                <w:szCs w:val="24"/>
              </w:rPr>
            </w:pPr>
            <w:r>
              <w:rPr>
                <w:rFonts w:hint="eastAsia"/>
                <w:color w:val="000000"/>
                <w:sz w:val="24"/>
                <w:szCs w:val="24"/>
              </w:rPr>
              <w:t>m</w:t>
            </w:r>
          </w:p>
        </w:tc>
        <w:tc>
          <w:tcPr>
            <w:tcW w:w="1590" w:type="dxa"/>
            <w:noWrap w:val="0"/>
            <w:vAlign w:val="center"/>
          </w:tcPr>
          <w:p>
            <w:pPr>
              <w:widowControl/>
              <w:jc w:val="left"/>
              <w:rPr>
                <w:rFonts w:hint="eastAsia"/>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left"/>
              <w:rPr>
                <w:rFonts w:hint="eastAsia"/>
                <w:color w:val="000000"/>
                <w:sz w:val="24"/>
                <w:szCs w:val="24"/>
              </w:rPr>
            </w:pPr>
            <w:r>
              <w:rPr>
                <w:rFonts w:hint="eastAsia"/>
                <w:color w:val="000000"/>
                <w:sz w:val="24"/>
                <w:szCs w:val="24"/>
              </w:rPr>
              <w:t>2</w:t>
            </w:r>
          </w:p>
        </w:tc>
        <w:tc>
          <w:tcPr>
            <w:tcW w:w="1273" w:type="dxa"/>
            <w:noWrap w:val="0"/>
            <w:vAlign w:val="center"/>
          </w:tcPr>
          <w:p>
            <w:pPr>
              <w:widowControl/>
              <w:jc w:val="left"/>
              <w:rPr>
                <w:rFonts w:hint="eastAsia"/>
                <w:color w:val="000000"/>
                <w:sz w:val="24"/>
                <w:szCs w:val="24"/>
              </w:rPr>
            </w:pPr>
            <w:r>
              <w:rPr>
                <w:rFonts w:hint="eastAsia"/>
                <w:color w:val="000000"/>
                <w:sz w:val="24"/>
                <w:szCs w:val="24"/>
              </w:rPr>
              <w:t>服务台面大理石</w:t>
            </w:r>
          </w:p>
        </w:tc>
        <w:tc>
          <w:tcPr>
            <w:tcW w:w="5413" w:type="dxa"/>
            <w:noWrap w:val="0"/>
            <w:vAlign w:val="center"/>
          </w:tcPr>
          <w:p>
            <w:pPr>
              <w:widowControl/>
              <w:jc w:val="left"/>
              <w:rPr>
                <w:rFonts w:hint="eastAsia"/>
                <w:color w:val="000000"/>
                <w:sz w:val="24"/>
                <w:szCs w:val="24"/>
              </w:rPr>
            </w:pPr>
            <w:r>
              <w:rPr>
                <w:rFonts w:hint="eastAsia"/>
                <w:color w:val="000000"/>
                <w:sz w:val="24"/>
                <w:szCs w:val="24"/>
              </w:rPr>
              <w:t>仿真大理石选用顶级涂装材料制作而成、健康环保、经专用材料进行表面处理，经久耐用   &lt;含机具耗费&gt;</w:t>
            </w:r>
          </w:p>
        </w:tc>
        <w:tc>
          <w:tcPr>
            <w:tcW w:w="640" w:type="dxa"/>
            <w:noWrap w:val="0"/>
            <w:vAlign w:val="center"/>
          </w:tcPr>
          <w:p>
            <w:pPr>
              <w:widowControl/>
              <w:jc w:val="left"/>
              <w:rPr>
                <w:rFonts w:hint="eastAsia"/>
                <w:color w:val="000000"/>
                <w:sz w:val="24"/>
                <w:szCs w:val="24"/>
              </w:rPr>
            </w:pPr>
            <w:r>
              <w:rPr>
                <w:rFonts w:hint="eastAsia"/>
                <w:color w:val="000000"/>
                <w:sz w:val="24"/>
                <w:szCs w:val="24"/>
              </w:rPr>
              <w:t>18.5</w:t>
            </w:r>
          </w:p>
        </w:tc>
        <w:tc>
          <w:tcPr>
            <w:tcW w:w="656" w:type="dxa"/>
            <w:noWrap w:val="0"/>
            <w:vAlign w:val="center"/>
          </w:tcPr>
          <w:p>
            <w:pPr>
              <w:widowControl/>
              <w:jc w:val="left"/>
              <w:rPr>
                <w:rFonts w:hint="eastAsia"/>
                <w:color w:val="000000"/>
                <w:sz w:val="24"/>
                <w:szCs w:val="24"/>
              </w:rPr>
            </w:pPr>
            <w:r>
              <w:rPr>
                <w:rFonts w:hint="eastAsia"/>
                <w:color w:val="000000"/>
                <w:sz w:val="24"/>
                <w:szCs w:val="24"/>
              </w:rPr>
              <w:t>m²</w:t>
            </w:r>
          </w:p>
        </w:tc>
        <w:tc>
          <w:tcPr>
            <w:tcW w:w="1590" w:type="dxa"/>
            <w:noWrap w:val="0"/>
            <w:vAlign w:val="center"/>
          </w:tcPr>
          <w:p>
            <w:pPr>
              <w:widowControl/>
              <w:jc w:val="left"/>
              <w:rPr>
                <w:rFonts w:hint="eastAsia"/>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left"/>
              <w:rPr>
                <w:rFonts w:hint="eastAsia"/>
                <w:color w:val="000000"/>
                <w:sz w:val="24"/>
                <w:szCs w:val="24"/>
              </w:rPr>
            </w:pPr>
            <w:r>
              <w:rPr>
                <w:rFonts w:hint="eastAsia"/>
                <w:color w:val="000000"/>
                <w:sz w:val="24"/>
                <w:szCs w:val="24"/>
              </w:rPr>
              <w:t>3</w:t>
            </w:r>
          </w:p>
        </w:tc>
        <w:tc>
          <w:tcPr>
            <w:tcW w:w="1273" w:type="dxa"/>
            <w:noWrap w:val="0"/>
            <w:vAlign w:val="center"/>
          </w:tcPr>
          <w:p>
            <w:pPr>
              <w:widowControl/>
              <w:jc w:val="left"/>
              <w:rPr>
                <w:rFonts w:hint="eastAsia"/>
                <w:color w:val="000000"/>
                <w:sz w:val="24"/>
                <w:szCs w:val="24"/>
              </w:rPr>
            </w:pPr>
            <w:r>
              <w:rPr>
                <w:rFonts w:hint="eastAsia"/>
                <w:color w:val="000000"/>
                <w:sz w:val="24"/>
                <w:szCs w:val="24"/>
              </w:rPr>
              <w:t>地面砖铲除</w:t>
            </w:r>
          </w:p>
        </w:tc>
        <w:tc>
          <w:tcPr>
            <w:tcW w:w="5413" w:type="dxa"/>
            <w:noWrap w:val="0"/>
            <w:vAlign w:val="center"/>
          </w:tcPr>
          <w:p>
            <w:pPr>
              <w:widowControl/>
              <w:jc w:val="left"/>
              <w:rPr>
                <w:rFonts w:hint="eastAsia"/>
                <w:color w:val="000000"/>
                <w:sz w:val="24"/>
                <w:szCs w:val="24"/>
              </w:rPr>
            </w:pPr>
            <w:r>
              <w:rPr>
                <w:rFonts w:hint="eastAsia"/>
                <w:color w:val="000000"/>
                <w:sz w:val="24"/>
                <w:szCs w:val="24"/>
              </w:rPr>
              <w:t>铲除原有地面砖、  &lt;含机具耗费&gt;  &lt;含基础剔除&gt;</w:t>
            </w:r>
          </w:p>
        </w:tc>
        <w:tc>
          <w:tcPr>
            <w:tcW w:w="640" w:type="dxa"/>
            <w:noWrap w:val="0"/>
            <w:vAlign w:val="center"/>
          </w:tcPr>
          <w:p>
            <w:pPr>
              <w:widowControl/>
              <w:jc w:val="left"/>
              <w:rPr>
                <w:rFonts w:hint="eastAsia"/>
                <w:color w:val="000000"/>
                <w:sz w:val="24"/>
                <w:szCs w:val="24"/>
              </w:rPr>
            </w:pPr>
            <w:r>
              <w:rPr>
                <w:rFonts w:hint="eastAsia"/>
                <w:color w:val="000000"/>
                <w:sz w:val="24"/>
                <w:szCs w:val="24"/>
              </w:rPr>
              <w:t>175</w:t>
            </w:r>
          </w:p>
        </w:tc>
        <w:tc>
          <w:tcPr>
            <w:tcW w:w="656" w:type="dxa"/>
            <w:noWrap w:val="0"/>
            <w:vAlign w:val="center"/>
          </w:tcPr>
          <w:p>
            <w:pPr>
              <w:widowControl/>
              <w:jc w:val="left"/>
              <w:rPr>
                <w:rFonts w:hint="eastAsia"/>
                <w:color w:val="000000"/>
                <w:sz w:val="24"/>
                <w:szCs w:val="24"/>
              </w:rPr>
            </w:pPr>
            <w:r>
              <w:rPr>
                <w:rFonts w:hint="eastAsia"/>
                <w:color w:val="000000"/>
                <w:sz w:val="24"/>
                <w:szCs w:val="24"/>
              </w:rPr>
              <w:t>m²</w:t>
            </w:r>
          </w:p>
        </w:tc>
        <w:tc>
          <w:tcPr>
            <w:tcW w:w="1590" w:type="dxa"/>
            <w:noWrap w:val="0"/>
            <w:vAlign w:val="center"/>
          </w:tcPr>
          <w:p>
            <w:pPr>
              <w:widowControl/>
              <w:jc w:val="left"/>
              <w:rPr>
                <w:rFonts w:hint="eastAsia"/>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left"/>
              <w:rPr>
                <w:rFonts w:hint="eastAsia"/>
                <w:color w:val="000000"/>
                <w:sz w:val="24"/>
                <w:szCs w:val="24"/>
              </w:rPr>
            </w:pPr>
            <w:r>
              <w:rPr>
                <w:rFonts w:hint="eastAsia"/>
                <w:color w:val="000000"/>
                <w:sz w:val="24"/>
                <w:szCs w:val="24"/>
              </w:rPr>
              <w:t>4</w:t>
            </w:r>
          </w:p>
        </w:tc>
        <w:tc>
          <w:tcPr>
            <w:tcW w:w="1273" w:type="dxa"/>
            <w:noWrap w:val="0"/>
            <w:vAlign w:val="center"/>
          </w:tcPr>
          <w:p>
            <w:pPr>
              <w:widowControl/>
              <w:jc w:val="left"/>
              <w:rPr>
                <w:rFonts w:hint="eastAsia"/>
                <w:color w:val="000000"/>
                <w:sz w:val="24"/>
                <w:szCs w:val="24"/>
              </w:rPr>
            </w:pPr>
            <w:r>
              <w:rPr>
                <w:rFonts w:hint="eastAsia"/>
                <w:color w:val="000000"/>
                <w:sz w:val="24"/>
                <w:szCs w:val="24"/>
              </w:rPr>
              <w:t>地面建渣</w:t>
            </w:r>
          </w:p>
        </w:tc>
        <w:tc>
          <w:tcPr>
            <w:tcW w:w="5413" w:type="dxa"/>
            <w:noWrap w:val="0"/>
            <w:vAlign w:val="center"/>
          </w:tcPr>
          <w:p>
            <w:pPr>
              <w:widowControl/>
              <w:jc w:val="left"/>
              <w:rPr>
                <w:rFonts w:hint="eastAsia"/>
                <w:color w:val="000000"/>
                <w:sz w:val="24"/>
                <w:szCs w:val="24"/>
              </w:rPr>
            </w:pPr>
            <w:r>
              <w:rPr>
                <w:rFonts w:hint="eastAsia"/>
                <w:color w:val="000000"/>
                <w:sz w:val="24"/>
                <w:szCs w:val="24"/>
              </w:rPr>
              <w:t>清理+搬运下楼+上车</w:t>
            </w:r>
          </w:p>
        </w:tc>
        <w:tc>
          <w:tcPr>
            <w:tcW w:w="640" w:type="dxa"/>
            <w:noWrap w:val="0"/>
            <w:vAlign w:val="center"/>
          </w:tcPr>
          <w:p>
            <w:pPr>
              <w:widowControl/>
              <w:jc w:val="left"/>
              <w:rPr>
                <w:rFonts w:hint="eastAsia"/>
                <w:color w:val="000000"/>
                <w:sz w:val="24"/>
                <w:szCs w:val="24"/>
              </w:rPr>
            </w:pPr>
            <w:r>
              <w:rPr>
                <w:rFonts w:hint="eastAsia"/>
                <w:color w:val="000000"/>
                <w:sz w:val="24"/>
                <w:szCs w:val="24"/>
              </w:rPr>
              <w:t>175</w:t>
            </w:r>
          </w:p>
        </w:tc>
        <w:tc>
          <w:tcPr>
            <w:tcW w:w="656" w:type="dxa"/>
            <w:noWrap w:val="0"/>
            <w:vAlign w:val="center"/>
          </w:tcPr>
          <w:p>
            <w:pPr>
              <w:widowControl/>
              <w:jc w:val="left"/>
              <w:rPr>
                <w:rFonts w:hint="eastAsia"/>
                <w:color w:val="000000"/>
                <w:sz w:val="24"/>
                <w:szCs w:val="24"/>
              </w:rPr>
            </w:pPr>
            <w:r>
              <w:rPr>
                <w:rFonts w:hint="eastAsia"/>
                <w:color w:val="000000"/>
                <w:sz w:val="24"/>
                <w:szCs w:val="24"/>
              </w:rPr>
              <w:t>m²</w:t>
            </w:r>
          </w:p>
        </w:tc>
        <w:tc>
          <w:tcPr>
            <w:tcW w:w="1590" w:type="dxa"/>
            <w:noWrap w:val="0"/>
            <w:vAlign w:val="center"/>
          </w:tcPr>
          <w:p>
            <w:pPr>
              <w:widowControl/>
              <w:jc w:val="left"/>
              <w:rPr>
                <w:rFonts w:hint="eastAsia"/>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left"/>
              <w:rPr>
                <w:rFonts w:hint="eastAsia"/>
                <w:color w:val="000000"/>
                <w:sz w:val="24"/>
                <w:szCs w:val="24"/>
              </w:rPr>
            </w:pPr>
            <w:r>
              <w:rPr>
                <w:rFonts w:hint="eastAsia"/>
                <w:color w:val="000000"/>
                <w:sz w:val="24"/>
                <w:szCs w:val="24"/>
              </w:rPr>
              <w:t>5</w:t>
            </w:r>
          </w:p>
        </w:tc>
        <w:tc>
          <w:tcPr>
            <w:tcW w:w="1273" w:type="dxa"/>
            <w:noWrap w:val="0"/>
            <w:vAlign w:val="center"/>
          </w:tcPr>
          <w:p>
            <w:pPr>
              <w:widowControl/>
              <w:jc w:val="left"/>
              <w:rPr>
                <w:rFonts w:hint="eastAsia"/>
                <w:color w:val="000000"/>
                <w:sz w:val="24"/>
                <w:szCs w:val="24"/>
              </w:rPr>
            </w:pPr>
            <w:r>
              <w:rPr>
                <w:rFonts w:hint="eastAsia"/>
                <w:color w:val="000000"/>
                <w:sz w:val="24"/>
                <w:szCs w:val="24"/>
              </w:rPr>
              <w:t>建渣清运</w:t>
            </w:r>
          </w:p>
        </w:tc>
        <w:tc>
          <w:tcPr>
            <w:tcW w:w="5413" w:type="dxa"/>
            <w:noWrap w:val="0"/>
            <w:vAlign w:val="center"/>
          </w:tcPr>
          <w:p>
            <w:pPr>
              <w:widowControl/>
              <w:jc w:val="left"/>
              <w:rPr>
                <w:rFonts w:hint="eastAsia"/>
                <w:color w:val="000000"/>
                <w:sz w:val="24"/>
                <w:szCs w:val="24"/>
              </w:rPr>
            </w:pPr>
            <w:r>
              <w:rPr>
                <w:rFonts w:hint="eastAsia"/>
                <w:color w:val="000000"/>
                <w:sz w:val="24"/>
                <w:szCs w:val="24"/>
              </w:rPr>
              <w:t>运费、倒场费</w:t>
            </w:r>
          </w:p>
        </w:tc>
        <w:tc>
          <w:tcPr>
            <w:tcW w:w="640" w:type="dxa"/>
            <w:noWrap w:val="0"/>
            <w:vAlign w:val="center"/>
          </w:tcPr>
          <w:p>
            <w:pPr>
              <w:widowControl/>
              <w:jc w:val="left"/>
              <w:rPr>
                <w:rFonts w:hint="eastAsia"/>
                <w:color w:val="000000"/>
                <w:sz w:val="24"/>
                <w:szCs w:val="24"/>
              </w:rPr>
            </w:pPr>
            <w:r>
              <w:rPr>
                <w:rFonts w:hint="eastAsia"/>
                <w:color w:val="000000"/>
                <w:sz w:val="24"/>
                <w:szCs w:val="24"/>
              </w:rPr>
              <w:t>10</w:t>
            </w:r>
          </w:p>
        </w:tc>
        <w:tc>
          <w:tcPr>
            <w:tcW w:w="656" w:type="dxa"/>
            <w:noWrap w:val="0"/>
            <w:vAlign w:val="center"/>
          </w:tcPr>
          <w:p>
            <w:pPr>
              <w:widowControl/>
              <w:jc w:val="left"/>
              <w:rPr>
                <w:rFonts w:hint="eastAsia"/>
                <w:color w:val="000000"/>
                <w:sz w:val="24"/>
                <w:szCs w:val="24"/>
              </w:rPr>
            </w:pPr>
            <w:r>
              <w:rPr>
                <w:rFonts w:hint="eastAsia"/>
                <w:color w:val="000000"/>
                <w:sz w:val="24"/>
                <w:szCs w:val="24"/>
              </w:rPr>
              <w:t>m³</w:t>
            </w:r>
          </w:p>
        </w:tc>
        <w:tc>
          <w:tcPr>
            <w:tcW w:w="1590" w:type="dxa"/>
            <w:noWrap w:val="0"/>
            <w:vAlign w:val="center"/>
          </w:tcPr>
          <w:p>
            <w:pPr>
              <w:widowControl/>
              <w:jc w:val="left"/>
              <w:rPr>
                <w:rFonts w:hint="eastAsia"/>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left"/>
              <w:rPr>
                <w:rFonts w:hint="eastAsia"/>
                <w:color w:val="000000"/>
                <w:sz w:val="24"/>
                <w:szCs w:val="24"/>
              </w:rPr>
            </w:pPr>
            <w:r>
              <w:rPr>
                <w:rFonts w:hint="eastAsia"/>
                <w:color w:val="000000"/>
                <w:sz w:val="24"/>
                <w:szCs w:val="24"/>
              </w:rPr>
              <w:t>6</w:t>
            </w:r>
          </w:p>
        </w:tc>
        <w:tc>
          <w:tcPr>
            <w:tcW w:w="1273" w:type="dxa"/>
            <w:noWrap w:val="0"/>
            <w:vAlign w:val="center"/>
          </w:tcPr>
          <w:p>
            <w:pPr>
              <w:widowControl/>
              <w:jc w:val="left"/>
              <w:rPr>
                <w:rFonts w:hint="eastAsia"/>
                <w:color w:val="000000"/>
                <w:sz w:val="24"/>
                <w:szCs w:val="24"/>
              </w:rPr>
            </w:pPr>
            <w:r>
              <w:rPr>
                <w:rFonts w:hint="eastAsia"/>
                <w:color w:val="000000"/>
                <w:sz w:val="24"/>
                <w:szCs w:val="24"/>
              </w:rPr>
              <w:t>找平处理地面</w:t>
            </w:r>
          </w:p>
        </w:tc>
        <w:tc>
          <w:tcPr>
            <w:tcW w:w="5413" w:type="dxa"/>
            <w:noWrap w:val="0"/>
            <w:vAlign w:val="center"/>
          </w:tcPr>
          <w:p>
            <w:pPr>
              <w:widowControl/>
              <w:jc w:val="left"/>
              <w:rPr>
                <w:rFonts w:hint="eastAsia"/>
                <w:color w:val="000000"/>
                <w:sz w:val="24"/>
                <w:szCs w:val="24"/>
              </w:rPr>
            </w:pPr>
            <w:r>
              <w:rPr>
                <w:rFonts w:hint="eastAsia"/>
                <w:color w:val="000000"/>
                <w:sz w:val="24"/>
                <w:szCs w:val="24"/>
              </w:rPr>
              <w:t>325水泥+中沙</w:t>
            </w:r>
          </w:p>
        </w:tc>
        <w:tc>
          <w:tcPr>
            <w:tcW w:w="640" w:type="dxa"/>
            <w:noWrap w:val="0"/>
            <w:vAlign w:val="center"/>
          </w:tcPr>
          <w:p>
            <w:pPr>
              <w:widowControl/>
              <w:jc w:val="left"/>
              <w:rPr>
                <w:rFonts w:hint="eastAsia"/>
                <w:color w:val="000000"/>
                <w:sz w:val="24"/>
                <w:szCs w:val="24"/>
              </w:rPr>
            </w:pPr>
            <w:r>
              <w:rPr>
                <w:rFonts w:hint="eastAsia"/>
                <w:color w:val="000000"/>
                <w:sz w:val="24"/>
                <w:szCs w:val="24"/>
              </w:rPr>
              <w:t>175</w:t>
            </w:r>
          </w:p>
        </w:tc>
        <w:tc>
          <w:tcPr>
            <w:tcW w:w="656" w:type="dxa"/>
            <w:noWrap w:val="0"/>
            <w:vAlign w:val="center"/>
          </w:tcPr>
          <w:p>
            <w:pPr>
              <w:widowControl/>
              <w:jc w:val="left"/>
              <w:rPr>
                <w:rFonts w:hint="eastAsia"/>
                <w:color w:val="000000"/>
                <w:sz w:val="24"/>
                <w:szCs w:val="24"/>
              </w:rPr>
            </w:pPr>
            <w:r>
              <w:rPr>
                <w:rFonts w:hint="eastAsia"/>
                <w:color w:val="000000"/>
                <w:sz w:val="24"/>
                <w:szCs w:val="24"/>
              </w:rPr>
              <w:t>m²</w:t>
            </w:r>
          </w:p>
        </w:tc>
        <w:tc>
          <w:tcPr>
            <w:tcW w:w="1590" w:type="dxa"/>
            <w:noWrap w:val="0"/>
            <w:vAlign w:val="center"/>
          </w:tcPr>
          <w:p>
            <w:pPr>
              <w:widowControl/>
              <w:jc w:val="left"/>
              <w:rPr>
                <w:rFonts w:hint="eastAsia"/>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left"/>
              <w:rPr>
                <w:rFonts w:hint="eastAsia"/>
                <w:color w:val="000000"/>
                <w:sz w:val="24"/>
                <w:szCs w:val="24"/>
              </w:rPr>
            </w:pPr>
            <w:r>
              <w:rPr>
                <w:rFonts w:hint="eastAsia"/>
                <w:color w:val="000000"/>
                <w:sz w:val="24"/>
                <w:szCs w:val="24"/>
              </w:rPr>
              <w:t>7</w:t>
            </w:r>
          </w:p>
        </w:tc>
        <w:tc>
          <w:tcPr>
            <w:tcW w:w="1273" w:type="dxa"/>
            <w:noWrap w:val="0"/>
            <w:vAlign w:val="center"/>
          </w:tcPr>
          <w:p>
            <w:pPr>
              <w:widowControl/>
              <w:jc w:val="left"/>
              <w:rPr>
                <w:rFonts w:hint="eastAsia"/>
                <w:color w:val="000000"/>
                <w:sz w:val="24"/>
                <w:szCs w:val="24"/>
              </w:rPr>
            </w:pPr>
            <w:r>
              <w:rPr>
                <w:rFonts w:hint="eastAsia"/>
                <w:color w:val="000000"/>
                <w:sz w:val="24"/>
                <w:szCs w:val="24"/>
              </w:rPr>
              <w:t>室内强电改造</w:t>
            </w:r>
          </w:p>
        </w:tc>
        <w:tc>
          <w:tcPr>
            <w:tcW w:w="5413" w:type="dxa"/>
            <w:noWrap w:val="0"/>
            <w:vAlign w:val="center"/>
          </w:tcPr>
          <w:p>
            <w:pPr>
              <w:widowControl/>
              <w:jc w:val="left"/>
              <w:rPr>
                <w:rFonts w:hint="eastAsia"/>
                <w:color w:val="000000"/>
                <w:sz w:val="24"/>
                <w:szCs w:val="24"/>
              </w:rPr>
            </w:pPr>
            <w:r>
              <w:rPr>
                <w:rFonts w:hint="eastAsia"/>
                <w:color w:val="000000"/>
                <w:sz w:val="24"/>
                <w:szCs w:val="24"/>
              </w:rPr>
              <w:t>铜芯线</w:t>
            </w:r>
            <w:r>
              <w:rPr>
                <w:rFonts w:hint="eastAsia"/>
                <w:color w:val="000000"/>
                <w:sz w:val="24"/>
                <w:szCs w:val="24"/>
                <w:lang w:eastAsia="zh-CN"/>
              </w:rPr>
              <w:t>（主线</w:t>
            </w:r>
            <w:r>
              <w:rPr>
                <w:rFonts w:hint="eastAsia"/>
                <w:color w:val="000000"/>
                <w:sz w:val="24"/>
                <w:szCs w:val="24"/>
                <w:lang w:val="en-US" w:eastAsia="zh-CN"/>
              </w:rPr>
              <w:t>不低于</w:t>
            </w:r>
            <w:r>
              <w:rPr>
                <w:rFonts w:hint="eastAsia"/>
                <w:color w:val="000000"/>
                <w:sz w:val="24"/>
                <w:szCs w:val="24"/>
                <w:lang w:eastAsia="zh-CN"/>
              </w:rPr>
              <w:t>10平方、空调线</w:t>
            </w:r>
            <w:r>
              <w:rPr>
                <w:rFonts w:hint="eastAsia"/>
                <w:color w:val="000000"/>
                <w:sz w:val="24"/>
                <w:szCs w:val="24"/>
                <w:lang w:val="en-US" w:eastAsia="zh-CN"/>
              </w:rPr>
              <w:t>不低于</w:t>
            </w:r>
            <w:r>
              <w:rPr>
                <w:rFonts w:hint="eastAsia"/>
                <w:color w:val="000000"/>
                <w:sz w:val="24"/>
                <w:szCs w:val="24"/>
                <w:lang w:eastAsia="zh-CN"/>
              </w:rPr>
              <w:t>4平方、开关灯线</w:t>
            </w:r>
            <w:r>
              <w:rPr>
                <w:rFonts w:hint="eastAsia"/>
                <w:color w:val="000000"/>
                <w:sz w:val="24"/>
                <w:szCs w:val="24"/>
                <w:lang w:val="en-US" w:eastAsia="zh-CN"/>
              </w:rPr>
              <w:t>不低于</w:t>
            </w:r>
            <w:r>
              <w:rPr>
                <w:rFonts w:hint="eastAsia"/>
                <w:color w:val="000000"/>
                <w:sz w:val="24"/>
                <w:szCs w:val="24"/>
                <w:lang w:eastAsia="zh-CN"/>
              </w:rPr>
              <w:t>2.5平方、筒灯线</w:t>
            </w:r>
            <w:r>
              <w:rPr>
                <w:rFonts w:hint="eastAsia"/>
                <w:color w:val="000000"/>
                <w:sz w:val="24"/>
                <w:szCs w:val="24"/>
                <w:lang w:val="en-US" w:eastAsia="zh-CN"/>
              </w:rPr>
              <w:t>不低于</w:t>
            </w:r>
            <w:r>
              <w:rPr>
                <w:rFonts w:hint="eastAsia"/>
                <w:color w:val="000000"/>
                <w:sz w:val="24"/>
                <w:szCs w:val="24"/>
                <w:lang w:eastAsia="zh-CN"/>
              </w:rPr>
              <w:t>1.5平方，电压等级450/750 V）</w:t>
            </w:r>
            <w:r>
              <w:rPr>
                <w:rFonts w:hint="eastAsia"/>
                <w:color w:val="000000"/>
                <w:sz w:val="24"/>
                <w:szCs w:val="24"/>
              </w:rPr>
              <w:t>、线管、线盒、线卡、&lt;照明、开关、插座线路&gt;</w:t>
            </w:r>
          </w:p>
        </w:tc>
        <w:tc>
          <w:tcPr>
            <w:tcW w:w="640" w:type="dxa"/>
            <w:noWrap w:val="0"/>
            <w:vAlign w:val="center"/>
          </w:tcPr>
          <w:p>
            <w:pPr>
              <w:widowControl/>
              <w:jc w:val="left"/>
              <w:rPr>
                <w:rFonts w:hint="eastAsia"/>
                <w:color w:val="000000"/>
                <w:sz w:val="24"/>
                <w:szCs w:val="24"/>
              </w:rPr>
            </w:pPr>
            <w:r>
              <w:rPr>
                <w:rFonts w:hint="eastAsia"/>
                <w:color w:val="000000"/>
                <w:sz w:val="24"/>
                <w:szCs w:val="24"/>
              </w:rPr>
              <w:t>175</w:t>
            </w:r>
          </w:p>
        </w:tc>
        <w:tc>
          <w:tcPr>
            <w:tcW w:w="656" w:type="dxa"/>
            <w:noWrap w:val="0"/>
            <w:vAlign w:val="center"/>
          </w:tcPr>
          <w:p>
            <w:pPr>
              <w:widowControl/>
              <w:jc w:val="left"/>
              <w:rPr>
                <w:rFonts w:hint="eastAsia"/>
                <w:color w:val="000000"/>
                <w:sz w:val="24"/>
                <w:szCs w:val="24"/>
              </w:rPr>
            </w:pPr>
            <w:r>
              <w:rPr>
                <w:rFonts w:hint="eastAsia"/>
                <w:color w:val="000000"/>
                <w:sz w:val="24"/>
                <w:szCs w:val="24"/>
              </w:rPr>
              <w:t>m²</w:t>
            </w:r>
          </w:p>
        </w:tc>
        <w:tc>
          <w:tcPr>
            <w:tcW w:w="1590" w:type="dxa"/>
            <w:noWrap w:val="0"/>
            <w:vAlign w:val="center"/>
          </w:tcPr>
          <w:p>
            <w:pPr>
              <w:widowControl/>
              <w:jc w:val="left"/>
              <w:rPr>
                <w:rFonts w:hint="eastAsia"/>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left"/>
              <w:rPr>
                <w:rFonts w:hint="eastAsia"/>
                <w:color w:val="000000"/>
                <w:sz w:val="24"/>
                <w:szCs w:val="24"/>
              </w:rPr>
            </w:pPr>
            <w:r>
              <w:rPr>
                <w:rFonts w:hint="eastAsia"/>
                <w:color w:val="000000"/>
                <w:sz w:val="24"/>
                <w:szCs w:val="24"/>
              </w:rPr>
              <w:t>8</w:t>
            </w:r>
          </w:p>
        </w:tc>
        <w:tc>
          <w:tcPr>
            <w:tcW w:w="1273" w:type="dxa"/>
            <w:noWrap w:val="0"/>
            <w:vAlign w:val="center"/>
          </w:tcPr>
          <w:p>
            <w:pPr>
              <w:widowControl/>
              <w:jc w:val="left"/>
              <w:rPr>
                <w:rFonts w:hint="eastAsia"/>
                <w:color w:val="000000"/>
                <w:sz w:val="24"/>
                <w:szCs w:val="24"/>
              </w:rPr>
            </w:pPr>
            <w:r>
              <w:rPr>
                <w:rFonts w:hint="eastAsia"/>
                <w:color w:val="000000"/>
                <w:sz w:val="24"/>
                <w:szCs w:val="24"/>
              </w:rPr>
              <w:t>地面地砖铺设</w:t>
            </w:r>
          </w:p>
        </w:tc>
        <w:tc>
          <w:tcPr>
            <w:tcW w:w="5413" w:type="dxa"/>
            <w:noWrap w:val="0"/>
            <w:vAlign w:val="center"/>
          </w:tcPr>
          <w:p>
            <w:pPr>
              <w:widowControl/>
              <w:jc w:val="left"/>
              <w:rPr>
                <w:rFonts w:hint="eastAsia"/>
                <w:color w:val="000000"/>
                <w:sz w:val="24"/>
                <w:szCs w:val="24"/>
              </w:rPr>
            </w:pPr>
            <w:r>
              <w:rPr>
                <w:rFonts w:hint="eastAsia"/>
                <w:color w:val="000000"/>
                <w:sz w:val="24"/>
                <w:szCs w:val="24"/>
              </w:rPr>
              <w:t xml:space="preserve">800*800地砖、325水泥、中沙、&lt;含机具耗费&gt;  </w:t>
            </w:r>
          </w:p>
        </w:tc>
        <w:tc>
          <w:tcPr>
            <w:tcW w:w="640" w:type="dxa"/>
            <w:noWrap w:val="0"/>
            <w:vAlign w:val="center"/>
          </w:tcPr>
          <w:p>
            <w:pPr>
              <w:widowControl/>
              <w:jc w:val="left"/>
              <w:rPr>
                <w:rFonts w:hint="eastAsia"/>
                <w:color w:val="000000"/>
                <w:sz w:val="24"/>
                <w:szCs w:val="24"/>
              </w:rPr>
            </w:pPr>
            <w:r>
              <w:rPr>
                <w:rFonts w:hint="eastAsia"/>
                <w:color w:val="000000"/>
                <w:sz w:val="24"/>
                <w:szCs w:val="24"/>
              </w:rPr>
              <w:t>175</w:t>
            </w:r>
          </w:p>
        </w:tc>
        <w:tc>
          <w:tcPr>
            <w:tcW w:w="656" w:type="dxa"/>
            <w:noWrap w:val="0"/>
            <w:vAlign w:val="center"/>
          </w:tcPr>
          <w:p>
            <w:pPr>
              <w:widowControl/>
              <w:jc w:val="left"/>
              <w:rPr>
                <w:rFonts w:hint="eastAsia"/>
                <w:color w:val="000000"/>
                <w:sz w:val="24"/>
                <w:szCs w:val="24"/>
              </w:rPr>
            </w:pPr>
            <w:r>
              <w:rPr>
                <w:rFonts w:hint="eastAsia"/>
                <w:color w:val="000000"/>
                <w:sz w:val="24"/>
                <w:szCs w:val="24"/>
              </w:rPr>
              <w:t>m²</w:t>
            </w:r>
          </w:p>
        </w:tc>
        <w:tc>
          <w:tcPr>
            <w:tcW w:w="1590" w:type="dxa"/>
            <w:noWrap w:val="0"/>
            <w:vAlign w:val="center"/>
          </w:tcPr>
          <w:p>
            <w:pPr>
              <w:widowControl/>
              <w:jc w:val="left"/>
              <w:rPr>
                <w:rFonts w:hint="eastAsia"/>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left"/>
              <w:rPr>
                <w:rFonts w:hint="eastAsia"/>
                <w:color w:val="000000"/>
                <w:sz w:val="24"/>
                <w:szCs w:val="24"/>
              </w:rPr>
            </w:pPr>
            <w:r>
              <w:rPr>
                <w:rFonts w:hint="eastAsia"/>
                <w:color w:val="000000"/>
                <w:sz w:val="24"/>
                <w:szCs w:val="24"/>
              </w:rPr>
              <w:t>9</w:t>
            </w:r>
          </w:p>
        </w:tc>
        <w:tc>
          <w:tcPr>
            <w:tcW w:w="1273" w:type="dxa"/>
            <w:noWrap w:val="0"/>
            <w:vAlign w:val="center"/>
          </w:tcPr>
          <w:p>
            <w:pPr>
              <w:widowControl/>
              <w:jc w:val="left"/>
              <w:rPr>
                <w:rFonts w:hint="eastAsia"/>
                <w:color w:val="000000"/>
                <w:sz w:val="24"/>
                <w:szCs w:val="24"/>
              </w:rPr>
            </w:pPr>
            <w:r>
              <w:rPr>
                <w:rFonts w:hint="eastAsia"/>
                <w:color w:val="000000"/>
                <w:sz w:val="24"/>
                <w:szCs w:val="24"/>
              </w:rPr>
              <w:t>踢脚线</w:t>
            </w:r>
          </w:p>
        </w:tc>
        <w:tc>
          <w:tcPr>
            <w:tcW w:w="5413" w:type="dxa"/>
            <w:noWrap w:val="0"/>
            <w:vAlign w:val="center"/>
          </w:tcPr>
          <w:p>
            <w:pPr>
              <w:widowControl/>
              <w:jc w:val="left"/>
              <w:rPr>
                <w:rFonts w:hint="eastAsia"/>
                <w:color w:val="000000"/>
                <w:sz w:val="24"/>
                <w:szCs w:val="24"/>
              </w:rPr>
            </w:pPr>
            <w:r>
              <w:rPr>
                <w:rFonts w:hint="eastAsia"/>
                <w:color w:val="000000"/>
                <w:sz w:val="24"/>
                <w:szCs w:val="24"/>
              </w:rPr>
              <w:t>脚线砖、325水泥、细沙、</w:t>
            </w:r>
          </w:p>
        </w:tc>
        <w:tc>
          <w:tcPr>
            <w:tcW w:w="640" w:type="dxa"/>
            <w:noWrap w:val="0"/>
            <w:vAlign w:val="center"/>
          </w:tcPr>
          <w:p>
            <w:pPr>
              <w:widowControl/>
              <w:jc w:val="left"/>
              <w:rPr>
                <w:rFonts w:hint="eastAsia"/>
                <w:color w:val="000000"/>
                <w:sz w:val="24"/>
                <w:szCs w:val="24"/>
              </w:rPr>
            </w:pPr>
            <w:r>
              <w:rPr>
                <w:rFonts w:hint="eastAsia"/>
                <w:color w:val="000000"/>
                <w:sz w:val="24"/>
                <w:szCs w:val="24"/>
              </w:rPr>
              <w:t>50</w:t>
            </w:r>
          </w:p>
        </w:tc>
        <w:tc>
          <w:tcPr>
            <w:tcW w:w="656" w:type="dxa"/>
            <w:noWrap w:val="0"/>
            <w:vAlign w:val="center"/>
          </w:tcPr>
          <w:p>
            <w:pPr>
              <w:widowControl/>
              <w:jc w:val="left"/>
              <w:rPr>
                <w:rFonts w:hint="eastAsia"/>
                <w:color w:val="000000"/>
                <w:sz w:val="24"/>
                <w:szCs w:val="24"/>
              </w:rPr>
            </w:pPr>
            <w:r>
              <w:rPr>
                <w:rFonts w:hint="eastAsia"/>
                <w:color w:val="000000"/>
                <w:sz w:val="24"/>
                <w:szCs w:val="24"/>
              </w:rPr>
              <w:t>m</w:t>
            </w:r>
          </w:p>
        </w:tc>
        <w:tc>
          <w:tcPr>
            <w:tcW w:w="1590" w:type="dxa"/>
            <w:noWrap w:val="0"/>
            <w:vAlign w:val="center"/>
          </w:tcPr>
          <w:p>
            <w:pPr>
              <w:widowControl/>
              <w:jc w:val="left"/>
              <w:rPr>
                <w:rFonts w:hint="eastAsia"/>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left"/>
              <w:rPr>
                <w:rFonts w:hint="eastAsia"/>
                <w:color w:val="000000"/>
                <w:sz w:val="24"/>
                <w:szCs w:val="24"/>
              </w:rPr>
            </w:pPr>
            <w:r>
              <w:rPr>
                <w:rFonts w:hint="eastAsia"/>
                <w:color w:val="000000"/>
                <w:sz w:val="24"/>
                <w:szCs w:val="24"/>
              </w:rPr>
              <w:t>10</w:t>
            </w:r>
          </w:p>
        </w:tc>
        <w:tc>
          <w:tcPr>
            <w:tcW w:w="1273" w:type="dxa"/>
            <w:noWrap w:val="0"/>
            <w:vAlign w:val="center"/>
          </w:tcPr>
          <w:p>
            <w:pPr>
              <w:widowControl/>
              <w:jc w:val="left"/>
              <w:rPr>
                <w:rFonts w:hint="eastAsia"/>
                <w:color w:val="000000"/>
                <w:sz w:val="24"/>
                <w:szCs w:val="24"/>
              </w:rPr>
            </w:pPr>
            <w:r>
              <w:rPr>
                <w:rFonts w:hint="eastAsia"/>
                <w:color w:val="000000"/>
                <w:sz w:val="24"/>
                <w:szCs w:val="24"/>
              </w:rPr>
              <w:t>木质背景墙</w:t>
            </w:r>
          </w:p>
        </w:tc>
        <w:tc>
          <w:tcPr>
            <w:tcW w:w="5413" w:type="dxa"/>
            <w:noWrap w:val="0"/>
            <w:vAlign w:val="center"/>
          </w:tcPr>
          <w:p>
            <w:pPr>
              <w:widowControl/>
              <w:jc w:val="left"/>
              <w:rPr>
                <w:rFonts w:hint="eastAsia"/>
                <w:color w:val="000000"/>
                <w:sz w:val="24"/>
                <w:szCs w:val="24"/>
              </w:rPr>
            </w:pPr>
            <w:r>
              <w:rPr>
                <w:rFonts w:hint="eastAsia"/>
                <w:color w:val="000000"/>
                <w:sz w:val="24"/>
                <w:szCs w:val="24"/>
              </w:rPr>
              <w:t>采用轻钢龙骨焊接封木工板和密度板面饰乳胶+铁膨胀螺丝+高强度自攻螺丝+防火涂料+防锈漆 &lt;含机具耗费&gt;</w:t>
            </w:r>
          </w:p>
        </w:tc>
        <w:tc>
          <w:tcPr>
            <w:tcW w:w="640" w:type="dxa"/>
            <w:noWrap w:val="0"/>
            <w:vAlign w:val="center"/>
          </w:tcPr>
          <w:p>
            <w:pPr>
              <w:widowControl/>
              <w:jc w:val="left"/>
              <w:rPr>
                <w:rFonts w:hint="eastAsia"/>
                <w:color w:val="000000"/>
                <w:sz w:val="24"/>
                <w:szCs w:val="24"/>
              </w:rPr>
            </w:pPr>
            <w:r>
              <w:rPr>
                <w:rFonts w:hint="eastAsia"/>
                <w:color w:val="000000"/>
                <w:sz w:val="24"/>
                <w:szCs w:val="24"/>
              </w:rPr>
              <w:t>26</w:t>
            </w:r>
          </w:p>
        </w:tc>
        <w:tc>
          <w:tcPr>
            <w:tcW w:w="656" w:type="dxa"/>
            <w:noWrap w:val="0"/>
            <w:vAlign w:val="center"/>
          </w:tcPr>
          <w:p>
            <w:pPr>
              <w:widowControl/>
              <w:jc w:val="left"/>
              <w:rPr>
                <w:rFonts w:hint="eastAsia"/>
                <w:color w:val="000000"/>
                <w:sz w:val="24"/>
                <w:szCs w:val="24"/>
              </w:rPr>
            </w:pPr>
            <w:r>
              <w:rPr>
                <w:rFonts w:hint="eastAsia"/>
                <w:color w:val="000000"/>
                <w:sz w:val="24"/>
                <w:szCs w:val="24"/>
              </w:rPr>
              <w:t>m²</w:t>
            </w:r>
          </w:p>
        </w:tc>
        <w:tc>
          <w:tcPr>
            <w:tcW w:w="1590" w:type="dxa"/>
            <w:noWrap w:val="0"/>
            <w:vAlign w:val="center"/>
          </w:tcPr>
          <w:p>
            <w:pPr>
              <w:widowControl/>
              <w:jc w:val="left"/>
              <w:rPr>
                <w:rFonts w:hint="eastAsia"/>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left"/>
              <w:rPr>
                <w:rFonts w:hint="eastAsia"/>
                <w:color w:val="000000"/>
                <w:sz w:val="24"/>
                <w:szCs w:val="24"/>
              </w:rPr>
            </w:pPr>
            <w:r>
              <w:rPr>
                <w:rFonts w:hint="eastAsia"/>
                <w:color w:val="000000"/>
                <w:sz w:val="24"/>
                <w:szCs w:val="24"/>
              </w:rPr>
              <w:t>11</w:t>
            </w:r>
          </w:p>
        </w:tc>
        <w:tc>
          <w:tcPr>
            <w:tcW w:w="1273" w:type="dxa"/>
            <w:noWrap w:val="0"/>
            <w:vAlign w:val="center"/>
          </w:tcPr>
          <w:p>
            <w:pPr>
              <w:widowControl/>
              <w:jc w:val="left"/>
              <w:rPr>
                <w:rFonts w:hint="eastAsia"/>
                <w:color w:val="000000"/>
                <w:sz w:val="24"/>
                <w:szCs w:val="24"/>
              </w:rPr>
            </w:pPr>
            <w:r>
              <w:rPr>
                <w:rFonts w:hint="eastAsia"/>
                <w:color w:val="000000"/>
                <w:sz w:val="24"/>
                <w:szCs w:val="24"/>
              </w:rPr>
              <w:t>窗边爵士白大理石</w:t>
            </w:r>
          </w:p>
        </w:tc>
        <w:tc>
          <w:tcPr>
            <w:tcW w:w="5413" w:type="dxa"/>
            <w:noWrap w:val="0"/>
            <w:vAlign w:val="center"/>
          </w:tcPr>
          <w:p>
            <w:pPr>
              <w:widowControl/>
              <w:jc w:val="left"/>
              <w:rPr>
                <w:rFonts w:hint="eastAsia"/>
                <w:color w:val="000000"/>
                <w:sz w:val="24"/>
                <w:szCs w:val="24"/>
              </w:rPr>
            </w:pPr>
            <w:r>
              <w:rPr>
                <w:rFonts w:hint="eastAsia"/>
                <w:color w:val="000000"/>
                <w:sz w:val="24"/>
                <w:szCs w:val="24"/>
              </w:rPr>
              <w:t>大理石+辅料</w:t>
            </w:r>
          </w:p>
        </w:tc>
        <w:tc>
          <w:tcPr>
            <w:tcW w:w="640" w:type="dxa"/>
            <w:noWrap w:val="0"/>
            <w:vAlign w:val="center"/>
          </w:tcPr>
          <w:p>
            <w:pPr>
              <w:widowControl/>
              <w:jc w:val="left"/>
              <w:rPr>
                <w:rFonts w:hint="eastAsia"/>
                <w:color w:val="000000"/>
                <w:sz w:val="24"/>
                <w:szCs w:val="24"/>
              </w:rPr>
            </w:pPr>
            <w:r>
              <w:rPr>
                <w:rFonts w:hint="eastAsia"/>
                <w:color w:val="000000"/>
                <w:sz w:val="24"/>
                <w:szCs w:val="24"/>
              </w:rPr>
              <w:t>45</w:t>
            </w:r>
          </w:p>
        </w:tc>
        <w:tc>
          <w:tcPr>
            <w:tcW w:w="656" w:type="dxa"/>
            <w:noWrap w:val="0"/>
            <w:vAlign w:val="center"/>
          </w:tcPr>
          <w:p>
            <w:pPr>
              <w:widowControl/>
              <w:jc w:val="left"/>
              <w:rPr>
                <w:rFonts w:hint="eastAsia"/>
                <w:color w:val="000000"/>
                <w:sz w:val="24"/>
                <w:szCs w:val="24"/>
              </w:rPr>
            </w:pPr>
            <w:r>
              <w:rPr>
                <w:rFonts w:hint="eastAsia"/>
                <w:color w:val="000000"/>
                <w:sz w:val="24"/>
                <w:szCs w:val="24"/>
              </w:rPr>
              <w:t>m</w:t>
            </w:r>
          </w:p>
        </w:tc>
        <w:tc>
          <w:tcPr>
            <w:tcW w:w="1590" w:type="dxa"/>
            <w:noWrap w:val="0"/>
            <w:vAlign w:val="center"/>
          </w:tcPr>
          <w:p>
            <w:pPr>
              <w:widowControl/>
              <w:jc w:val="left"/>
              <w:rPr>
                <w:rFonts w:hint="eastAsia"/>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left"/>
              <w:rPr>
                <w:rFonts w:hint="eastAsia"/>
                <w:color w:val="000000"/>
                <w:sz w:val="24"/>
                <w:szCs w:val="24"/>
              </w:rPr>
            </w:pPr>
            <w:r>
              <w:rPr>
                <w:rFonts w:hint="eastAsia"/>
                <w:color w:val="000000"/>
                <w:sz w:val="24"/>
                <w:szCs w:val="24"/>
              </w:rPr>
              <w:t>12</w:t>
            </w:r>
          </w:p>
        </w:tc>
        <w:tc>
          <w:tcPr>
            <w:tcW w:w="1273" w:type="dxa"/>
            <w:noWrap w:val="0"/>
            <w:vAlign w:val="center"/>
          </w:tcPr>
          <w:p>
            <w:pPr>
              <w:widowControl/>
              <w:jc w:val="left"/>
              <w:rPr>
                <w:rFonts w:hint="eastAsia"/>
                <w:color w:val="000000"/>
                <w:sz w:val="24"/>
                <w:szCs w:val="24"/>
              </w:rPr>
            </w:pPr>
            <w:r>
              <w:rPr>
                <w:rFonts w:hint="eastAsia"/>
                <w:color w:val="000000"/>
                <w:sz w:val="24"/>
                <w:szCs w:val="24"/>
              </w:rPr>
              <w:t>顶面喷涂黑乳胶漆</w:t>
            </w:r>
          </w:p>
        </w:tc>
        <w:tc>
          <w:tcPr>
            <w:tcW w:w="5413" w:type="dxa"/>
            <w:noWrap w:val="0"/>
            <w:vAlign w:val="center"/>
          </w:tcPr>
          <w:p>
            <w:pPr>
              <w:widowControl/>
              <w:jc w:val="left"/>
              <w:rPr>
                <w:rFonts w:hint="eastAsia"/>
                <w:color w:val="000000"/>
                <w:sz w:val="24"/>
                <w:szCs w:val="24"/>
              </w:rPr>
            </w:pPr>
            <w:r>
              <w:rPr>
                <w:rFonts w:hint="eastAsia"/>
                <w:color w:val="000000"/>
                <w:sz w:val="24"/>
                <w:szCs w:val="24"/>
              </w:rPr>
              <w:t>黑色漆、底漆1遍、面漆2遍、</w:t>
            </w:r>
          </w:p>
        </w:tc>
        <w:tc>
          <w:tcPr>
            <w:tcW w:w="640" w:type="dxa"/>
            <w:noWrap w:val="0"/>
            <w:vAlign w:val="center"/>
          </w:tcPr>
          <w:p>
            <w:pPr>
              <w:widowControl/>
              <w:jc w:val="left"/>
              <w:rPr>
                <w:rFonts w:hint="eastAsia"/>
                <w:color w:val="000000"/>
                <w:sz w:val="24"/>
                <w:szCs w:val="24"/>
              </w:rPr>
            </w:pPr>
            <w:r>
              <w:rPr>
                <w:rFonts w:hint="eastAsia"/>
                <w:color w:val="000000"/>
                <w:sz w:val="24"/>
                <w:szCs w:val="24"/>
              </w:rPr>
              <w:t>230</w:t>
            </w:r>
          </w:p>
        </w:tc>
        <w:tc>
          <w:tcPr>
            <w:tcW w:w="656" w:type="dxa"/>
            <w:noWrap w:val="0"/>
            <w:vAlign w:val="center"/>
          </w:tcPr>
          <w:p>
            <w:pPr>
              <w:widowControl/>
              <w:jc w:val="left"/>
              <w:rPr>
                <w:rFonts w:hint="eastAsia"/>
                <w:color w:val="000000"/>
                <w:sz w:val="24"/>
                <w:szCs w:val="24"/>
              </w:rPr>
            </w:pPr>
            <w:r>
              <w:rPr>
                <w:rFonts w:hint="eastAsia"/>
                <w:color w:val="000000"/>
                <w:sz w:val="24"/>
                <w:szCs w:val="24"/>
              </w:rPr>
              <w:t>m²</w:t>
            </w:r>
          </w:p>
        </w:tc>
        <w:tc>
          <w:tcPr>
            <w:tcW w:w="1590" w:type="dxa"/>
            <w:noWrap w:val="0"/>
            <w:vAlign w:val="center"/>
          </w:tcPr>
          <w:p>
            <w:pPr>
              <w:widowControl/>
              <w:jc w:val="left"/>
              <w:rPr>
                <w:rFonts w:hint="eastAsia"/>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left"/>
              <w:rPr>
                <w:rFonts w:hint="eastAsia"/>
                <w:color w:val="000000"/>
                <w:sz w:val="24"/>
                <w:szCs w:val="24"/>
              </w:rPr>
            </w:pPr>
            <w:r>
              <w:rPr>
                <w:rFonts w:hint="eastAsia"/>
                <w:color w:val="000000"/>
                <w:sz w:val="24"/>
                <w:szCs w:val="24"/>
              </w:rPr>
              <w:t>13</w:t>
            </w:r>
          </w:p>
        </w:tc>
        <w:tc>
          <w:tcPr>
            <w:tcW w:w="1273" w:type="dxa"/>
            <w:noWrap w:val="0"/>
            <w:vAlign w:val="center"/>
          </w:tcPr>
          <w:p>
            <w:pPr>
              <w:widowControl/>
              <w:jc w:val="left"/>
              <w:rPr>
                <w:rFonts w:hint="eastAsia"/>
                <w:color w:val="000000"/>
                <w:sz w:val="24"/>
                <w:szCs w:val="24"/>
              </w:rPr>
            </w:pPr>
            <w:r>
              <w:rPr>
                <w:rFonts w:hint="eastAsia"/>
                <w:color w:val="000000"/>
                <w:sz w:val="24"/>
                <w:szCs w:val="24"/>
              </w:rPr>
              <w:t>顶面石膏板边顶</w:t>
            </w:r>
          </w:p>
        </w:tc>
        <w:tc>
          <w:tcPr>
            <w:tcW w:w="5413" w:type="dxa"/>
            <w:noWrap w:val="0"/>
            <w:vAlign w:val="center"/>
          </w:tcPr>
          <w:p>
            <w:pPr>
              <w:widowControl/>
              <w:jc w:val="left"/>
              <w:rPr>
                <w:rFonts w:hint="eastAsia"/>
                <w:color w:val="000000"/>
                <w:sz w:val="24"/>
                <w:szCs w:val="24"/>
              </w:rPr>
            </w:pPr>
            <w:r>
              <w:rPr>
                <w:rFonts w:hint="eastAsia"/>
                <w:color w:val="000000"/>
                <w:sz w:val="24"/>
                <w:szCs w:val="24"/>
              </w:rPr>
              <w:t>阻燃复合木工板1200*2400+纸面石膏板1200*2400、轻钢龙骨+局部24x35木龙骨+铁膨胀螺丝+高强自攻螺丝+防火涂料+防锈漆+人工费&lt;含机具耗费&gt;</w:t>
            </w:r>
          </w:p>
        </w:tc>
        <w:tc>
          <w:tcPr>
            <w:tcW w:w="640" w:type="dxa"/>
            <w:noWrap w:val="0"/>
            <w:vAlign w:val="center"/>
          </w:tcPr>
          <w:p>
            <w:pPr>
              <w:widowControl/>
              <w:jc w:val="left"/>
              <w:rPr>
                <w:rFonts w:hint="eastAsia"/>
                <w:color w:val="000000"/>
                <w:sz w:val="24"/>
                <w:szCs w:val="24"/>
              </w:rPr>
            </w:pPr>
            <w:r>
              <w:rPr>
                <w:rFonts w:hint="eastAsia"/>
                <w:color w:val="000000"/>
                <w:sz w:val="24"/>
                <w:szCs w:val="24"/>
              </w:rPr>
              <w:t>53</w:t>
            </w:r>
          </w:p>
        </w:tc>
        <w:tc>
          <w:tcPr>
            <w:tcW w:w="656" w:type="dxa"/>
            <w:noWrap w:val="0"/>
            <w:vAlign w:val="center"/>
          </w:tcPr>
          <w:p>
            <w:pPr>
              <w:widowControl/>
              <w:jc w:val="left"/>
              <w:rPr>
                <w:rFonts w:hint="eastAsia"/>
                <w:color w:val="000000"/>
                <w:sz w:val="24"/>
                <w:szCs w:val="24"/>
              </w:rPr>
            </w:pPr>
            <w:r>
              <w:rPr>
                <w:rFonts w:hint="eastAsia"/>
                <w:color w:val="000000"/>
                <w:sz w:val="24"/>
                <w:szCs w:val="24"/>
              </w:rPr>
              <w:t>m</w:t>
            </w:r>
          </w:p>
        </w:tc>
        <w:tc>
          <w:tcPr>
            <w:tcW w:w="1590" w:type="dxa"/>
            <w:noWrap w:val="0"/>
            <w:vAlign w:val="center"/>
          </w:tcPr>
          <w:p>
            <w:pPr>
              <w:widowControl/>
              <w:jc w:val="left"/>
              <w:rPr>
                <w:rFonts w:hint="eastAsia"/>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left"/>
              <w:rPr>
                <w:rFonts w:hint="eastAsia"/>
                <w:color w:val="000000"/>
                <w:sz w:val="24"/>
                <w:szCs w:val="24"/>
              </w:rPr>
            </w:pPr>
            <w:r>
              <w:rPr>
                <w:rFonts w:hint="eastAsia"/>
                <w:color w:val="000000"/>
                <w:sz w:val="24"/>
                <w:szCs w:val="24"/>
              </w:rPr>
              <w:t>14</w:t>
            </w:r>
          </w:p>
        </w:tc>
        <w:tc>
          <w:tcPr>
            <w:tcW w:w="1273" w:type="dxa"/>
            <w:noWrap w:val="0"/>
            <w:vAlign w:val="center"/>
          </w:tcPr>
          <w:p>
            <w:pPr>
              <w:widowControl/>
              <w:jc w:val="left"/>
              <w:rPr>
                <w:rFonts w:hint="eastAsia"/>
                <w:color w:val="000000"/>
                <w:sz w:val="24"/>
                <w:szCs w:val="24"/>
              </w:rPr>
            </w:pPr>
            <w:r>
              <w:rPr>
                <w:rFonts w:hint="eastAsia"/>
                <w:color w:val="000000"/>
                <w:sz w:val="24"/>
                <w:szCs w:val="24"/>
              </w:rPr>
              <w:t>顶面铝方通</w:t>
            </w:r>
          </w:p>
        </w:tc>
        <w:tc>
          <w:tcPr>
            <w:tcW w:w="5413" w:type="dxa"/>
            <w:noWrap w:val="0"/>
            <w:vAlign w:val="center"/>
          </w:tcPr>
          <w:p>
            <w:pPr>
              <w:widowControl/>
              <w:jc w:val="left"/>
              <w:rPr>
                <w:rFonts w:hint="eastAsia"/>
                <w:color w:val="000000"/>
                <w:sz w:val="24"/>
                <w:szCs w:val="24"/>
              </w:rPr>
            </w:pPr>
            <w:r>
              <w:rPr>
                <w:rFonts w:hint="eastAsia"/>
                <w:color w:val="000000"/>
                <w:sz w:val="24"/>
                <w:szCs w:val="24"/>
              </w:rPr>
              <w:t>铝方通+特自合金龙骨+铁膨胀螺丝+吊丝+人工费&lt;含机具耗费&gt;</w:t>
            </w:r>
          </w:p>
        </w:tc>
        <w:tc>
          <w:tcPr>
            <w:tcW w:w="640" w:type="dxa"/>
            <w:noWrap w:val="0"/>
            <w:vAlign w:val="center"/>
          </w:tcPr>
          <w:p>
            <w:pPr>
              <w:widowControl/>
              <w:jc w:val="left"/>
              <w:rPr>
                <w:rFonts w:hint="eastAsia"/>
                <w:color w:val="000000"/>
                <w:sz w:val="24"/>
                <w:szCs w:val="24"/>
              </w:rPr>
            </w:pPr>
            <w:r>
              <w:rPr>
                <w:rFonts w:hint="eastAsia"/>
                <w:color w:val="000000"/>
                <w:sz w:val="24"/>
                <w:szCs w:val="24"/>
              </w:rPr>
              <w:t>175</w:t>
            </w:r>
          </w:p>
        </w:tc>
        <w:tc>
          <w:tcPr>
            <w:tcW w:w="656" w:type="dxa"/>
            <w:noWrap w:val="0"/>
            <w:vAlign w:val="center"/>
          </w:tcPr>
          <w:p>
            <w:pPr>
              <w:widowControl/>
              <w:jc w:val="left"/>
              <w:rPr>
                <w:rFonts w:hint="eastAsia"/>
                <w:color w:val="000000"/>
                <w:sz w:val="24"/>
                <w:szCs w:val="24"/>
              </w:rPr>
            </w:pPr>
            <w:r>
              <w:rPr>
                <w:rFonts w:hint="eastAsia"/>
                <w:color w:val="000000"/>
                <w:sz w:val="24"/>
                <w:szCs w:val="24"/>
              </w:rPr>
              <w:t>m²</w:t>
            </w:r>
          </w:p>
        </w:tc>
        <w:tc>
          <w:tcPr>
            <w:tcW w:w="1590" w:type="dxa"/>
            <w:noWrap w:val="0"/>
            <w:vAlign w:val="center"/>
          </w:tcPr>
          <w:p>
            <w:pPr>
              <w:widowControl/>
              <w:jc w:val="left"/>
              <w:rPr>
                <w:rFonts w:hint="eastAsia"/>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left"/>
              <w:rPr>
                <w:rFonts w:hint="eastAsia"/>
                <w:color w:val="000000"/>
                <w:sz w:val="24"/>
                <w:szCs w:val="24"/>
              </w:rPr>
            </w:pPr>
            <w:r>
              <w:rPr>
                <w:rFonts w:hint="eastAsia"/>
                <w:color w:val="000000"/>
                <w:sz w:val="24"/>
                <w:szCs w:val="24"/>
              </w:rPr>
              <w:t>15</w:t>
            </w:r>
          </w:p>
        </w:tc>
        <w:tc>
          <w:tcPr>
            <w:tcW w:w="1273" w:type="dxa"/>
            <w:noWrap w:val="0"/>
            <w:vAlign w:val="center"/>
          </w:tcPr>
          <w:p>
            <w:pPr>
              <w:widowControl/>
              <w:jc w:val="left"/>
              <w:rPr>
                <w:rFonts w:hint="eastAsia"/>
                <w:color w:val="000000"/>
                <w:sz w:val="24"/>
                <w:szCs w:val="24"/>
              </w:rPr>
            </w:pPr>
            <w:r>
              <w:rPr>
                <w:rFonts w:hint="eastAsia"/>
                <w:color w:val="000000"/>
                <w:sz w:val="24"/>
                <w:szCs w:val="24"/>
              </w:rPr>
              <w:t>筒灯</w:t>
            </w:r>
          </w:p>
        </w:tc>
        <w:tc>
          <w:tcPr>
            <w:tcW w:w="5413" w:type="dxa"/>
            <w:noWrap w:val="0"/>
            <w:vAlign w:val="center"/>
          </w:tcPr>
          <w:p>
            <w:pPr>
              <w:widowControl/>
              <w:jc w:val="left"/>
              <w:rPr>
                <w:rFonts w:hint="eastAsia"/>
                <w:color w:val="000000"/>
                <w:sz w:val="24"/>
                <w:szCs w:val="24"/>
                <w:lang w:eastAsia="zh-CN"/>
              </w:rPr>
            </w:pPr>
            <w:r>
              <w:rPr>
                <w:rFonts w:hint="eastAsia"/>
                <w:color w:val="000000"/>
                <w:sz w:val="24"/>
                <w:szCs w:val="24"/>
              </w:rPr>
              <w:t>4寸圆形筒灯射灯带驱动，5W</w:t>
            </w:r>
            <w:r>
              <w:rPr>
                <w:rFonts w:hint="eastAsia"/>
                <w:color w:val="000000"/>
                <w:sz w:val="24"/>
                <w:szCs w:val="24"/>
                <w:lang w:eastAsia="zh-CN"/>
              </w:rPr>
              <w:t>（</w:t>
            </w:r>
            <w:r>
              <w:rPr>
                <w:rFonts w:hint="eastAsia"/>
                <w:color w:val="000000"/>
                <w:sz w:val="24"/>
                <w:szCs w:val="24"/>
                <w:lang w:val="en-US" w:eastAsia="zh-CN"/>
              </w:rPr>
              <w:t>国家节能产品认证</w:t>
            </w:r>
            <w:r>
              <w:rPr>
                <w:rFonts w:hint="eastAsia"/>
                <w:color w:val="000000"/>
                <w:sz w:val="24"/>
                <w:szCs w:val="24"/>
                <w:lang w:eastAsia="zh-CN"/>
              </w:rPr>
              <w:t>）</w:t>
            </w:r>
          </w:p>
        </w:tc>
        <w:tc>
          <w:tcPr>
            <w:tcW w:w="640" w:type="dxa"/>
            <w:noWrap w:val="0"/>
            <w:vAlign w:val="center"/>
          </w:tcPr>
          <w:p>
            <w:pPr>
              <w:widowControl/>
              <w:jc w:val="left"/>
              <w:rPr>
                <w:rFonts w:hint="eastAsia"/>
                <w:color w:val="000000"/>
                <w:sz w:val="24"/>
                <w:szCs w:val="24"/>
              </w:rPr>
            </w:pPr>
            <w:r>
              <w:rPr>
                <w:rFonts w:hint="eastAsia"/>
                <w:color w:val="000000"/>
                <w:sz w:val="24"/>
                <w:szCs w:val="24"/>
              </w:rPr>
              <w:t>40</w:t>
            </w:r>
          </w:p>
        </w:tc>
        <w:tc>
          <w:tcPr>
            <w:tcW w:w="656" w:type="dxa"/>
            <w:noWrap w:val="0"/>
            <w:vAlign w:val="center"/>
          </w:tcPr>
          <w:p>
            <w:pPr>
              <w:widowControl/>
              <w:jc w:val="left"/>
              <w:rPr>
                <w:rFonts w:hint="eastAsia"/>
                <w:color w:val="000000"/>
                <w:sz w:val="24"/>
                <w:szCs w:val="24"/>
              </w:rPr>
            </w:pPr>
            <w:r>
              <w:rPr>
                <w:rFonts w:hint="eastAsia"/>
                <w:color w:val="000000"/>
                <w:sz w:val="24"/>
                <w:szCs w:val="24"/>
              </w:rPr>
              <w:t>个</w:t>
            </w:r>
          </w:p>
        </w:tc>
        <w:tc>
          <w:tcPr>
            <w:tcW w:w="1590" w:type="dxa"/>
            <w:noWrap w:val="0"/>
            <w:vAlign w:val="center"/>
          </w:tcPr>
          <w:p>
            <w:pPr>
              <w:widowControl/>
              <w:jc w:val="left"/>
              <w:rPr>
                <w:rFonts w:hint="eastAsia"/>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left"/>
              <w:rPr>
                <w:rFonts w:hint="eastAsia"/>
                <w:color w:val="000000"/>
                <w:sz w:val="24"/>
                <w:szCs w:val="24"/>
              </w:rPr>
            </w:pPr>
            <w:r>
              <w:rPr>
                <w:rFonts w:hint="eastAsia"/>
                <w:color w:val="000000"/>
                <w:sz w:val="24"/>
                <w:szCs w:val="24"/>
              </w:rPr>
              <w:t>16</w:t>
            </w:r>
          </w:p>
        </w:tc>
        <w:tc>
          <w:tcPr>
            <w:tcW w:w="1273" w:type="dxa"/>
            <w:noWrap w:val="0"/>
            <w:vAlign w:val="center"/>
          </w:tcPr>
          <w:p>
            <w:pPr>
              <w:widowControl/>
              <w:jc w:val="left"/>
              <w:rPr>
                <w:rFonts w:hint="eastAsia"/>
                <w:color w:val="000000"/>
                <w:sz w:val="24"/>
                <w:szCs w:val="24"/>
              </w:rPr>
            </w:pPr>
            <w:r>
              <w:rPr>
                <w:rFonts w:hint="eastAsia"/>
                <w:color w:val="000000"/>
                <w:sz w:val="24"/>
                <w:szCs w:val="24"/>
              </w:rPr>
              <w:t>灯带</w:t>
            </w:r>
          </w:p>
        </w:tc>
        <w:tc>
          <w:tcPr>
            <w:tcW w:w="5413" w:type="dxa"/>
            <w:noWrap w:val="0"/>
            <w:vAlign w:val="center"/>
          </w:tcPr>
          <w:p>
            <w:pPr>
              <w:widowControl/>
              <w:jc w:val="left"/>
              <w:rPr>
                <w:rFonts w:hint="eastAsia"/>
                <w:color w:val="000000"/>
                <w:sz w:val="24"/>
                <w:szCs w:val="24"/>
              </w:rPr>
            </w:pPr>
            <w:r>
              <w:rPr>
                <w:rFonts w:hint="eastAsia"/>
                <w:color w:val="000000"/>
                <w:sz w:val="24"/>
                <w:szCs w:val="24"/>
              </w:rPr>
              <w:t>长形灯带规格307，白色4W</w:t>
            </w:r>
            <w:r>
              <w:rPr>
                <w:rFonts w:hint="eastAsia"/>
                <w:color w:val="000000"/>
                <w:sz w:val="24"/>
                <w:szCs w:val="24"/>
                <w:lang w:eastAsia="zh-CN"/>
              </w:rPr>
              <w:t>（</w:t>
            </w:r>
            <w:r>
              <w:rPr>
                <w:rFonts w:hint="eastAsia"/>
                <w:color w:val="000000"/>
                <w:sz w:val="24"/>
                <w:szCs w:val="24"/>
                <w:lang w:val="en-US" w:eastAsia="zh-CN"/>
              </w:rPr>
              <w:t>国家节能产品认证</w:t>
            </w:r>
            <w:r>
              <w:rPr>
                <w:rFonts w:hint="eastAsia"/>
                <w:color w:val="000000"/>
                <w:sz w:val="24"/>
                <w:szCs w:val="24"/>
                <w:lang w:eastAsia="zh-CN"/>
              </w:rPr>
              <w:t>）</w:t>
            </w:r>
          </w:p>
        </w:tc>
        <w:tc>
          <w:tcPr>
            <w:tcW w:w="640" w:type="dxa"/>
            <w:noWrap w:val="0"/>
            <w:vAlign w:val="center"/>
          </w:tcPr>
          <w:p>
            <w:pPr>
              <w:widowControl/>
              <w:jc w:val="left"/>
              <w:rPr>
                <w:rFonts w:hint="eastAsia"/>
                <w:color w:val="000000"/>
                <w:sz w:val="24"/>
                <w:szCs w:val="24"/>
              </w:rPr>
            </w:pPr>
            <w:r>
              <w:rPr>
                <w:rFonts w:hint="eastAsia"/>
                <w:color w:val="000000"/>
                <w:sz w:val="24"/>
                <w:szCs w:val="24"/>
              </w:rPr>
              <w:t>53</w:t>
            </w:r>
          </w:p>
        </w:tc>
        <w:tc>
          <w:tcPr>
            <w:tcW w:w="656" w:type="dxa"/>
            <w:noWrap w:val="0"/>
            <w:vAlign w:val="center"/>
          </w:tcPr>
          <w:p>
            <w:pPr>
              <w:widowControl/>
              <w:jc w:val="left"/>
              <w:rPr>
                <w:rFonts w:hint="eastAsia"/>
                <w:color w:val="000000"/>
                <w:sz w:val="24"/>
                <w:szCs w:val="24"/>
              </w:rPr>
            </w:pPr>
            <w:r>
              <w:rPr>
                <w:rFonts w:hint="eastAsia"/>
                <w:color w:val="000000"/>
                <w:sz w:val="24"/>
                <w:szCs w:val="24"/>
              </w:rPr>
              <w:t>m</w:t>
            </w:r>
          </w:p>
        </w:tc>
        <w:tc>
          <w:tcPr>
            <w:tcW w:w="1590" w:type="dxa"/>
            <w:noWrap w:val="0"/>
            <w:vAlign w:val="center"/>
          </w:tcPr>
          <w:p>
            <w:pPr>
              <w:widowControl/>
              <w:jc w:val="left"/>
              <w:rPr>
                <w:rFonts w:hint="eastAsia"/>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left"/>
              <w:rPr>
                <w:rFonts w:hint="eastAsia"/>
                <w:color w:val="000000"/>
                <w:sz w:val="24"/>
                <w:szCs w:val="24"/>
              </w:rPr>
            </w:pPr>
            <w:r>
              <w:rPr>
                <w:rFonts w:hint="eastAsia"/>
                <w:color w:val="000000"/>
                <w:sz w:val="24"/>
                <w:szCs w:val="24"/>
              </w:rPr>
              <w:t>17</w:t>
            </w:r>
          </w:p>
        </w:tc>
        <w:tc>
          <w:tcPr>
            <w:tcW w:w="1273" w:type="dxa"/>
            <w:noWrap w:val="0"/>
            <w:vAlign w:val="center"/>
          </w:tcPr>
          <w:p>
            <w:pPr>
              <w:widowControl/>
              <w:jc w:val="left"/>
              <w:rPr>
                <w:rFonts w:hint="eastAsia"/>
                <w:color w:val="000000"/>
                <w:sz w:val="24"/>
                <w:szCs w:val="24"/>
              </w:rPr>
            </w:pPr>
            <w:r>
              <w:rPr>
                <w:rFonts w:hint="eastAsia"/>
                <w:color w:val="000000"/>
                <w:sz w:val="24"/>
                <w:szCs w:val="24"/>
              </w:rPr>
              <w:t>长方形灯</w:t>
            </w:r>
          </w:p>
        </w:tc>
        <w:tc>
          <w:tcPr>
            <w:tcW w:w="5413" w:type="dxa"/>
            <w:noWrap w:val="0"/>
            <w:vAlign w:val="center"/>
          </w:tcPr>
          <w:p>
            <w:pPr>
              <w:widowControl/>
              <w:jc w:val="left"/>
              <w:rPr>
                <w:rFonts w:hint="eastAsia"/>
                <w:color w:val="000000"/>
                <w:sz w:val="24"/>
                <w:szCs w:val="24"/>
              </w:rPr>
            </w:pPr>
            <w:r>
              <w:rPr>
                <w:rFonts w:hint="eastAsia"/>
                <w:color w:val="000000"/>
                <w:sz w:val="24"/>
                <w:szCs w:val="24"/>
              </w:rPr>
              <w:t>规格1200*70*40mm,白色24W</w:t>
            </w:r>
            <w:r>
              <w:rPr>
                <w:rFonts w:hint="eastAsia"/>
                <w:color w:val="000000"/>
                <w:sz w:val="24"/>
                <w:szCs w:val="24"/>
                <w:lang w:eastAsia="zh-CN"/>
              </w:rPr>
              <w:t>（</w:t>
            </w:r>
            <w:r>
              <w:rPr>
                <w:rFonts w:hint="eastAsia"/>
                <w:color w:val="000000"/>
                <w:sz w:val="24"/>
                <w:szCs w:val="24"/>
                <w:lang w:val="en-US" w:eastAsia="zh-CN"/>
              </w:rPr>
              <w:t>国家节能产品认证</w:t>
            </w:r>
            <w:r>
              <w:rPr>
                <w:rFonts w:hint="eastAsia"/>
                <w:color w:val="000000"/>
                <w:sz w:val="24"/>
                <w:szCs w:val="24"/>
                <w:lang w:eastAsia="zh-CN"/>
              </w:rPr>
              <w:t>）</w:t>
            </w:r>
          </w:p>
        </w:tc>
        <w:tc>
          <w:tcPr>
            <w:tcW w:w="640" w:type="dxa"/>
            <w:noWrap w:val="0"/>
            <w:vAlign w:val="center"/>
          </w:tcPr>
          <w:p>
            <w:pPr>
              <w:widowControl/>
              <w:jc w:val="left"/>
              <w:rPr>
                <w:rFonts w:hint="eastAsia"/>
                <w:color w:val="000000"/>
                <w:sz w:val="24"/>
                <w:szCs w:val="24"/>
              </w:rPr>
            </w:pPr>
            <w:r>
              <w:rPr>
                <w:rFonts w:hint="eastAsia"/>
                <w:color w:val="000000"/>
                <w:sz w:val="24"/>
                <w:szCs w:val="24"/>
              </w:rPr>
              <w:t>28</w:t>
            </w:r>
          </w:p>
        </w:tc>
        <w:tc>
          <w:tcPr>
            <w:tcW w:w="656" w:type="dxa"/>
            <w:noWrap w:val="0"/>
            <w:vAlign w:val="center"/>
          </w:tcPr>
          <w:p>
            <w:pPr>
              <w:widowControl/>
              <w:jc w:val="left"/>
              <w:rPr>
                <w:rFonts w:hint="eastAsia"/>
                <w:color w:val="000000"/>
                <w:sz w:val="24"/>
                <w:szCs w:val="24"/>
              </w:rPr>
            </w:pPr>
            <w:r>
              <w:rPr>
                <w:rFonts w:hint="eastAsia"/>
                <w:color w:val="000000"/>
                <w:sz w:val="24"/>
                <w:szCs w:val="24"/>
              </w:rPr>
              <w:t>个</w:t>
            </w:r>
          </w:p>
        </w:tc>
        <w:tc>
          <w:tcPr>
            <w:tcW w:w="1590" w:type="dxa"/>
            <w:noWrap w:val="0"/>
            <w:vAlign w:val="center"/>
          </w:tcPr>
          <w:p>
            <w:pPr>
              <w:widowControl/>
              <w:jc w:val="left"/>
              <w:rPr>
                <w:rFonts w:hint="eastAsia"/>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left"/>
              <w:rPr>
                <w:rFonts w:hint="eastAsia"/>
                <w:color w:val="000000"/>
                <w:sz w:val="24"/>
                <w:szCs w:val="24"/>
              </w:rPr>
            </w:pPr>
            <w:r>
              <w:rPr>
                <w:rFonts w:hint="eastAsia"/>
                <w:color w:val="000000"/>
                <w:sz w:val="24"/>
                <w:szCs w:val="24"/>
              </w:rPr>
              <w:t>18</w:t>
            </w:r>
          </w:p>
        </w:tc>
        <w:tc>
          <w:tcPr>
            <w:tcW w:w="1273" w:type="dxa"/>
            <w:noWrap w:val="0"/>
            <w:vAlign w:val="center"/>
          </w:tcPr>
          <w:p>
            <w:pPr>
              <w:widowControl/>
              <w:jc w:val="left"/>
              <w:rPr>
                <w:rFonts w:hint="eastAsia"/>
                <w:color w:val="000000"/>
                <w:sz w:val="24"/>
                <w:szCs w:val="24"/>
              </w:rPr>
            </w:pPr>
            <w:r>
              <w:rPr>
                <w:rFonts w:hint="eastAsia"/>
                <w:color w:val="000000"/>
                <w:sz w:val="24"/>
                <w:szCs w:val="24"/>
              </w:rPr>
              <w:t>带门禁钢化玻璃门</w:t>
            </w:r>
          </w:p>
        </w:tc>
        <w:tc>
          <w:tcPr>
            <w:tcW w:w="5413" w:type="dxa"/>
            <w:noWrap w:val="0"/>
            <w:vAlign w:val="center"/>
          </w:tcPr>
          <w:p>
            <w:pPr>
              <w:widowControl/>
              <w:jc w:val="left"/>
              <w:rPr>
                <w:rFonts w:hint="eastAsia"/>
                <w:color w:val="000000"/>
                <w:sz w:val="24"/>
                <w:szCs w:val="24"/>
              </w:rPr>
            </w:pPr>
            <w:r>
              <w:rPr>
                <w:rFonts w:hint="eastAsia"/>
                <w:color w:val="000000"/>
                <w:sz w:val="24"/>
                <w:szCs w:val="24"/>
              </w:rPr>
              <w:t>订制钢化玻璃</w:t>
            </w:r>
            <w:r>
              <w:rPr>
                <w:rFonts w:hint="eastAsia"/>
                <w:color w:val="000000"/>
                <w:sz w:val="24"/>
                <w:szCs w:val="24"/>
                <w:lang w:val="en-US" w:eastAsia="zh-CN"/>
              </w:rPr>
              <w:t>(厚度不低于6mm)</w:t>
            </w:r>
            <w:r>
              <w:rPr>
                <w:rFonts w:hint="eastAsia"/>
                <w:color w:val="000000"/>
                <w:sz w:val="24"/>
                <w:szCs w:val="24"/>
              </w:rPr>
              <w:t>带门禁+磨边+地弹簧+拉手、</w:t>
            </w:r>
          </w:p>
        </w:tc>
        <w:tc>
          <w:tcPr>
            <w:tcW w:w="640" w:type="dxa"/>
            <w:noWrap w:val="0"/>
            <w:vAlign w:val="center"/>
          </w:tcPr>
          <w:p>
            <w:pPr>
              <w:widowControl/>
              <w:jc w:val="left"/>
              <w:rPr>
                <w:rFonts w:hint="eastAsia"/>
                <w:color w:val="000000"/>
                <w:sz w:val="24"/>
                <w:szCs w:val="24"/>
              </w:rPr>
            </w:pPr>
            <w:r>
              <w:rPr>
                <w:rFonts w:hint="eastAsia"/>
                <w:color w:val="000000"/>
                <w:sz w:val="24"/>
                <w:szCs w:val="24"/>
              </w:rPr>
              <w:t>10</w:t>
            </w:r>
          </w:p>
        </w:tc>
        <w:tc>
          <w:tcPr>
            <w:tcW w:w="656" w:type="dxa"/>
            <w:noWrap w:val="0"/>
            <w:vAlign w:val="center"/>
          </w:tcPr>
          <w:p>
            <w:pPr>
              <w:widowControl/>
              <w:jc w:val="left"/>
              <w:rPr>
                <w:rFonts w:hint="eastAsia"/>
                <w:color w:val="000000"/>
                <w:sz w:val="24"/>
                <w:szCs w:val="24"/>
              </w:rPr>
            </w:pPr>
            <w:r>
              <w:rPr>
                <w:rFonts w:hint="eastAsia"/>
                <w:color w:val="000000"/>
                <w:sz w:val="24"/>
                <w:szCs w:val="24"/>
              </w:rPr>
              <w:t>m²</w:t>
            </w:r>
          </w:p>
        </w:tc>
        <w:tc>
          <w:tcPr>
            <w:tcW w:w="1590" w:type="dxa"/>
            <w:noWrap w:val="0"/>
            <w:vAlign w:val="center"/>
          </w:tcPr>
          <w:p>
            <w:pPr>
              <w:widowControl/>
              <w:jc w:val="left"/>
              <w:rPr>
                <w:rFonts w:hint="eastAsia"/>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left"/>
              <w:rPr>
                <w:rFonts w:hint="eastAsia"/>
                <w:color w:val="000000"/>
                <w:sz w:val="24"/>
                <w:szCs w:val="24"/>
              </w:rPr>
            </w:pPr>
            <w:r>
              <w:rPr>
                <w:rFonts w:hint="eastAsia"/>
                <w:color w:val="000000"/>
                <w:sz w:val="24"/>
                <w:szCs w:val="24"/>
              </w:rPr>
              <w:t>19</w:t>
            </w:r>
          </w:p>
        </w:tc>
        <w:tc>
          <w:tcPr>
            <w:tcW w:w="1273" w:type="dxa"/>
            <w:noWrap w:val="0"/>
            <w:vAlign w:val="center"/>
          </w:tcPr>
          <w:p>
            <w:pPr>
              <w:widowControl/>
              <w:jc w:val="left"/>
              <w:rPr>
                <w:rFonts w:hint="eastAsia"/>
                <w:color w:val="000000"/>
                <w:sz w:val="24"/>
                <w:szCs w:val="24"/>
              </w:rPr>
            </w:pPr>
            <w:r>
              <w:rPr>
                <w:rFonts w:hint="eastAsia"/>
                <w:color w:val="000000"/>
                <w:sz w:val="24"/>
                <w:szCs w:val="24"/>
              </w:rPr>
              <w:t>门坎大理石</w:t>
            </w:r>
          </w:p>
        </w:tc>
        <w:tc>
          <w:tcPr>
            <w:tcW w:w="5413" w:type="dxa"/>
            <w:noWrap w:val="0"/>
            <w:vAlign w:val="center"/>
          </w:tcPr>
          <w:p>
            <w:pPr>
              <w:widowControl/>
              <w:jc w:val="left"/>
              <w:rPr>
                <w:rFonts w:hint="eastAsia"/>
                <w:color w:val="000000"/>
                <w:sz w:val="24"/>
                <w:szCs w:val="24"/>
              </w:rPr>
            </w:pPr>
            <w:r>
              <w:rPr>
                <w:rFonts w:hint="eastAsia"/>
                <w:color w:val="000000"/>
                <w:sz w:val="24"/>
                <w:szCs w:val="24"/>
              </w:rPr>
              <w:t>辅料</w:t>
            </w:r>
          </w:p>
        </w:tc>
        <w:tc>
          <w:tcPr>
            <w:tcW w:w="640" w:type="dxa"/>
            <w:noWrap w:val="0"/>
            <w:vAlign w:val="center"/>
          </w:tcPr>
          <w:p>
            <w:pPr>
              <w:widowControl/>
              <w:jc w:val="left"/>
              <w:rPr>
                <w:rFonts w:hint="eastAsia"/>
                <w:color w:val="000000"/>
                <w:sz w:val="24"/>
                <w:szCs w:val="24"/>
              </w:rPr>
            </w:pPr>
            <w:r>
              <w:rPr>
                <w:rFonts w:hint="eastAsia"/>
                <w:color w:val="000000"/>
                <w:sz w:val="24"/>
                <w:szCs w:val="24"/>
              </w:rPr>
              <w:t>3.2</w:t>
            </w:r>
          </w:p>
        </w:tc>
        <w:tc>
          <w:tcPr>
            <w:tcW w:w="656" w:type="dxa"/>
            <w:noWrap w:val="0"/>
            <w:vAlign w:val="center"/>
          </w:tcPr>
          <w:p>
            <w:pPr>
              <w:widowControl/>
              <w:jc w:val="left"/>
              <w:rPr>
                <w:rFonts w:hint="eastAsia"/>
                <w:color w:val="000000"/>
                <w:sz w:val="24"/>
                <w:szCs w:val="24"/>
              </w:rPr>
            </w:pPr>
            <w:r>
              <w:rPr>
                <w:rFonts w:hint="eastAsia"/>
                <w:color w:val="000000"/>
                <w:sz w:val="24"/>
                <w:szCs w:val="24"/>
              </w:rPr>
              <w:t>m</w:t>
            </w:r>
          </w:p>
        </w:tc>
        <w:tc>
          <w:tcPr>
            <w:tcW w:w="1590" w:type="dxa"/>
            <w:noWrap w:val="0"/>
            <w:vAlign w:val="center"/>
          </w:tcPr>
          <w:p>
            <w:pPr>
              <w:widowControl/>
              <w:jc w:val="left"/>
              <w:rPr>
                <w:rFonts w:hint="eastAsia"/>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left"/>
              <w:rPr>
                <w:rFonts w:hint="eastAsia"/>
                <w:color w:val="000000"/>
                <w:sz w:val="24"/>
                <w:szCs w:val="24"/>
              </w:rPr>
            </w:pPr>
            <w:r>
              <w:rPr>
                <w:rFonts w:hint="eastAsia"/>
                <w:color w:val="000000"/>
                <w:sz w:val="24"/>
                <w:szCs w:val="24"/>
              </w:rPr>
              <w:t>20</w:t>
            </w:r>
          </w:p>
        </w:tc>
        <w:tc>
          <w:tcPr>
            <w:tcW w:w="1273" w:type="dxa"/>
            <w:noWrap w:val="0"/>
            <w:vAlign w:val="center"/>
          </w:tcPr>
          <w:p>
            <w:pPr>
              <w:widowControl/>
              <w:jc w:val="left"/>
              <w:rPr>
                <w:rFonts w:hint="eastAsia"/>
                <w:color w:val="000000"/>
                <w:sz w:val="24"/>
                <w:szCs w:val="24"/>
              </w:rPr>
            </w:pPr>
            <w:r>
              <w:rPr>
                <w:rFonts w:hint="eastAsia"/>
                <w:color w:val="000000"/>
                <w:sz w:val="24"/>
                <w:szCs w:val="24"/>
              </w:rPr>
              <w:t>顶墙面仿瓷工程</w:t>
            </w:r>
          </w:p>
        </w:tc>
        <w:tc>
          <w:tcPr>
            <w:tcW w:w="5413" w:type="dxa"/>
            <w:noWrap w:val="0"/>
            <w:vAlign w:val="center"/>
          </w:tcPr>
          <w:p>
            <w:pPr>
              <w:widowControl/>
              <w:jc w:val="left"/>
              <w:rPr>
                <w:rFonts w:hint="eastAsia"/>
                <w:color w:val="000000"/>
                <w:sz w:val="24"/>
                <w:szCs w:val="24"/>
              </w:rPr>
            </w:pPr>
            <w:r>
              <w:rPr>
                <w:rFonts w:hint="eastAsia"/>
                <w:color w:val="000000"/>
                <w:sz w:val="24"/>
                <w:szCs w:val="24"/>
              </w:rPr>
              <w:t>808胶水+石膏粉找底一遍+成品腻子粉两遍+打磨  &lt;按展开面积算&gt;</w:t>
            </w:r>
          </w:p>
        </w:tc>
        <w:tc>
          <w:tcPr>
            <w:tcW w:w="640" w:type="dxa"/>
            <w:noWrap w:val="0"/>
            <w:vAlign w:val="center"/>
          </w:tcPr>
          <w:p>
            <w:pPr>
              <w:widowControl/>
              <w:jc w:val="left"/>
              <w:rPr>
                <w:rFonts w:hint="eastAsia"/>
                <w:color w:val="000000"/>
                <w:sz w:val="24"/>
                <w:szCs w:val="24"/>
              </w:rPr>
            </w:pPr>
            <w:r>
              <w:rPr>
                <w:rFonts w:hint="eastAsia"/>
                <w:color w:val="000000"/>
                <w:sz w:val="24"/>
                <w:szCs w:val="24"/>
              </w:rPr>
              <w:t>212</w:t>
            </w:r>
          </w:p>
        </w:tc>
        <w:tc>
          <w:tcPr>
            <w:tcW w:w="656" w:type="dxa"/>
            <w:noWrap w:val="0"/>
            <w:vAlign w:val="center"/>
          </w:tcPr>
          <w:p>
            <w:pPr>
              <w:widowControl/>
              <w:jc w:val="left"/>
              <w:rPr>
                <w:rFonts w:hint="eastAsia"/>
                <w:color w:val="000000"/>
                <w:sz w:val="24"/>
                <w:szCs w:val="24"/>
              </w:rPr>
            </w:pPr>
            <w:r>
              <w:rPr>
                <w:rFonts w:hint="eastAsia"/>
                <w:color w:val="000000"/>
                <w:sz w:val="24"/>
                <w:szCs w:val="24"/>
              </w:rPr>
              <w:t>m²</w:t>
            </w:r>
          </w:p>
        </w:tc>
        <w:tc>
          <w:tcPr>
            <w:tcW w:w="1590" w:type="dxa"/>
            <w:noWrap w:val="0"/>
            <w:vAlign w:val="center"/>
          </w:tcPr>
          <w:p>
            <w:pPr>
              <w:widowControl/>
              <w:jc w:val="left"/>
              <w:rPr>
                <w:rFonts w:hint="eastAsia"/>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left"/>
              <w:rPr>
                <w:rFonts w:hint="eastAsia"/>
                <w:color w:val="000000"/>
                <w:sz w:val="24"/>
                <w:szCs w:val="24"/>
              </w:rPr>
            </w:pPr>
            <w:r>
              <w:rPr>
                <w:rFonts w:hint="eastAsia"/>
                <w:color w:val="000000"/>
                <w:sz w:val="24"/>
                <w:szCs w:val="24"/>
              </w:rPr>
              <w:t>21</w:t>
            </w:r>
          </w:p>
        </w:tc>
        <w:tc>
          <w:tcPr>
            <w:tcW w:w="1273" w:type="dxa"/>
            <w:noWrap w:val="0"/>
            <w:vAlign w:val="center"/>
          </w:tcPr>
          <w:p>
            <w:pPr>
              <w:widowControl/>
              <w:jc w:val="left"/>
              <w:rPr>
                <w:rFonts w:hint="eastAsia"/>
                <w:color w:val="000000"/>
                <w:sz w:val="24"/>
                <w:szCs w:val="24"/>
              </w:rPr>
            </w:pPr>
            <w:r>
              <w:rPr>
                <w:rFonts w:hint="eastAsia"/>
                <w:color w:val="000000"/>
                <w:sz w:val="24"/>
                <w:szCs w:val="24"/>
              </w:rPr>
              <w:t>喷乳胶漆工程</w:t>
            </w:r>
          </w:p>
        </w:tc>
        <w:tc>
          <w:tcPr>
            <w:tcW w:w="5413" w:type="dxa"/>
            <w:noWrap w:val="0"/>
            <w:vAlign w:val="center"/>
          </w:tcPr>
          <w:p>
            <w:pPr>
              <w:widowControl/>
              <w:jc w:val="left"/>
              <w:rPr>
                <w:rFonts w:hint="eastAsia"/>
                <w:color w:val="000000"/>
                <w:sz w:val="24"/>
                <w:szCs w:val="24"/>
              </w:rPr>
            </w:pPr>
            <w:r>
              <w:rPr>
                <w:rFonts w:hint="eastAsia"/>
                <w:color w:val="000000"/>
                <w:sz w:val="24"/>
                <w:szCs w:val="24"/>
              </w:rPr>
              <w:t>遮蔽+底漆1遍+面漆2遍+；滚涂和喷涂工艺&lt;按展开面积算&gt;</w:t>
            </w:r>
          </w:p>
        </w:tc>
        <w:tc>
          <w:tcPr>
            <w:tcW w:w="640" w:type="dxa"/>
            <w:noWrap w:val="0"/>
            <w:vAlign w:val="center"/>
          </w:tcPr>
          <w:p>
            <w:pPr>
              <w:widowControl/>
              <w:jc w:val="left"/>
              <w:rPr>
                <w:rFonts w:hint="eastAsia"/>
                <w:color w:val="000000"/>
                <w:sz w:val="24"/>
                <w:szCs w:val="24"/>
              </w:rPr>
            </w:pPr>
            <w:r>
              <w:rPr>
                <w:rFonts w:hint="eastAsia"/>
                <w:color w:val="000000"/>
                <w:sz w:val="24"/>
                <w:szCs w:val="24"/>
              </w:rPr>
              <w:t>212</w:t>
            </w:r>
          </w:p>
        </w:tc>
        <w:tc>
          <w:tcPr>
            <w:tcW w:w="656" w:type="dxa"/>
            <w:noWrap w:val="0"/>
            <w:vAlign w:val="center"/>
          </w:tcPr>
          <w:p>
            <w:pPr>
              <w:widowControl/>
              <w:jc w:val="left"/>
              <w:rPr>
                <w:rFonts w:hint="eastAsia"/>
                <w:color w:val="000000"/>
                <w:sz w:val="24"/>
                <w:szCs w:val="24"/>
              </w:rPr>
            </w:pPr>
            <w:r>
              <w:rPr>
                <w:rFonts w:hint="eastAsia"/>
                <w:color w:val="000000"/>
                <w:sz w:val="24"/>
                <w:szCs w:val="24"/>
              </w:rPr>
              <w:t>m²</w:t>
            </w:r>
          </w:p>
        </w:tc>
        <w:tc>
          <w:tcPr>
            <w:tcW w:w="1590" w:type="dxa"/>
            <w:noWrap w:val="0"/>
            <w:vAlign w:val="center"/>
          </w:tcPr>
          <w:p>
            <w:pPr>
              <w:widowControl/>
              <w:jc w:val="left"/>
              <w:rPr>
                <w:rFonts w:hint="eastAsia"/>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left"/>
              <w:rPr>
                <w:rFonts w:hint="eastAsia"/>
                <w:color w:val="000000"/>
                <w:sz w:val="24"/>
                <w:szCs w:val="24"/>
              </w:rPr>
            </w:pPr>
            <w:r>
              <w:rPr>
                <w:rFonts w:hint="eastAsia"/>
                <w:color w:val="000000"/>
                <w:sz w:val="24"/>
                <w:szCs w:val="24"/>
              </w:rPr>
              <w:t>22</w:t>
            </w:r>
          </w:p>
        </w:tc>
        <w:tc>
          <w:tcPr>
            <w:tcW w:w="1273" w:type="dxa"/>
            <w:noWrap w:val="0"/>
            <w:vAlign w:val="center"/>
          </w:tcPr>
          <w:p>
            <w:pPr>
              <w:widowControl/>
              <w:jc w:val="left"/>
              <w:rPr>
                <w:rFonts w:hint="eastAsia"/>
                <w:color w:val="000000"/>
                <w:sz w:val="24"/>
                <w:szCs w:val="24"/>
              </w:rPr>
            </w:pPr>
            <w:r>
              <w:rPr>
                <w:rFonts w:hint="eastAsia"/>
                <w:color w:val="000000"/>
                <w:sz w:val="24"/>
                <w:szCs w:val="24"/>
              </w:rPr>
              <w:t>不锈钢角线包边</w:t>
            </w:r>
          </w:p>
        </w:tc>
        <w:tc>
          <w:tcPr>
            <w:tcW w:w="5413" w:type="dxa"/>
            <w:noWrap w:val="0"/>
            <w:vAlign w:val="center"/>
          </w:tcPr>
          <w:p>
            <w:pPr>
              <w:widowControl/>
              <w:jc w:val="left"/>
              <w:rPr>
                <w:rFonts w:hint="eastAsia"/>
                <w:color w:val="000000"/>
                <w:sz w:val="24"/>
                <w:szCs w:val="24"/>
              </w:rPr>
            </w:pPr>
            <w:r>
              <w:rPr>
                <w:rFonts w:hint="eastAsia"/>
                <w:color w:val="000000"/>
                <w:sz w:val="24"/>
                <w:szCs w:val="24"/>
              </w:rPr>
              <w:t>辅料</w:t>
            </w:r>
          </w:p>
        </w:tc>
        <w:tc>
          <w:tcPr>
            <w:tcW w:w="640" w:type="dxa"/>
            <w:noWrap w:val="0"/>
            <w:vAlign w:val="center"/>
          </w:tcPr>
          <w:p>
            <w:pPr>
              <w:widowControl/>
              <w:jc w:val="left"/>
              <w:rPr>
                <w:rFonts w:hint="eastAsia"/>
                <w:color w:val="000000"/>
                <w:sz w:val="24"/>
                <w:szCs w:val="24"/>
              </w:rPr>
            </w:pPr>
            <w:r>
              <w:rPr>
                <w:rFonts w:hint="eastAsia"/>
                <w:color w:val="000000"/>
                <w:sz w:val="24"/>
                <w:szCs w:val="24"/>
              </w:rPr>
              <w:t>7.8</w:t>
            </w:r>
          </w:p>
        </w:tc>
        <w:tc>
          <w:tcPr>
            <w:tcW w:w="656" w:type="dxa"/>
            <w:noWrap w:val="0"/>
            <w:vAlign w:val="center"/>
          </w:tcPr>
          <w:p>
            <w:pPr>
              <w:widowControl/>
              <w:jc w:val="left"/>
              <w:rPr>
                <w:rFonts w:hint="eastAsia"/>
                <w:color w:val="000000"/>
                <w:sz w:val="24"/>
                <w:szCs w:val="24"/>
              </w:rPr>
            </w:pPr>
            <w:r>
              <w:rPr>
                <w:rFonts w:hint="eastAsia"/>
                <w:color w:val="000000"/>
                <w:sz w:val="24"/>
                <w:szCs w:val="24"/>
              </w:rPr>
              <w:t>m</w:t>
            </w:r>
          </w:p>
        </w:tc>
        <w:tc>
          <w:tcPr>
            <w:tcW w:w="1590" w:type="dxa"/>
            <w:noWrap w:val="0"/>
            <w:vAlign w:val="center"/>
          </w:tcPr>
          <w:p>
            <w:pPr>
              <w:widowControl/>
              <w:jc w:val="left"/>
              <w:rPr>
                <w:rFonts w:hint="eastAsia"/>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left"/>
              <w:rPr>
                <w:rFonts w:hint="eastAsia"/>
                <w:color w:val="000000"/>
                <w:sz w:val="24"/>
                <w:szCs w:val="24"/>
              </w:rPr>
            </w:pPr>
            <w:r>
              <w:rPr>
                <w:rFonts w:hint="eastAsia"/>
                <w:color w:val="000000"/>
                <w:sz w:val="24"/>
                <w:szCs w:val="24"/>
              </w:rPr>
              <w:t>23</w:t>
            </w:r>
          </w:p>
        </w:tc>
        <w:tc>
          <w:tcPr>
            <w:tcW w:w="1273" w:type="dxa"/>
            <w:noWrap w:val="0"/>
            <w:vAlign w:val="center"/>
          </w:tcPr>
          <w:p>
            <w:pPr>
              <w:widowControl/>
              <w:jc w:val="left"/>
              <w:rPr>
                <w:rFonts w:hint="eastAsia"/>
                <w:color w:val="000000"/>
                <w:sz w:val="24"/>
                <w:szCs w:val="24"/>
              </w:rPr>
            </w:pPr>
            <w:r>
              <w:rPr>
                <w:rFonts w:hint="eastAsia"/>
                <w:color w:val="000000"/>
                <w:sz w:val="24"/>
                <w:szCs w:val="24"/>
              </w:rPr>
              <w:t>工地日常垃圾清理</w:t>
            </w:r>
          </w:p>
        </w:tc>
        <w:tc>
          <w:tcPr>
            <w:tcW w:w="5413" w:type="dxa"/>
            <w:noWrap w:val="0"/>
            <w:vAlign w:val="center"/>
          </w:tcPr>
          <w:p>
            <w:pPr>
              <w:widowControl/>
              <w:jc w:val="left"/>
              <w:rPr>
                <w:rFonts w:hint="eastAsia"/>
                <w:color w:val="000000"/>
                <w:sz w:val="24"/>
                <w:szCs w:val="24"/>
              </w:rPr>
            </w:pPr>
            <w:r>
              <w:rPr>
                <w:rFonts w:hint="eastAsia"/>
                <w:color w:val="000000"/>
                <w:sz w:val="24"/>
                <w:szCs w:val="24"/>
              </w:rPr>
              <w:t>工地现场施工垃圾清理、堆放、搬运下楼指定地点</w:t>
            </w:r>
          </w:p>
        </w:tc>
        <w:tc>
          <w:tcPr>
            <w:tcW w:w="640" w:type="dxa"/>
            <w:noWrap w:val="0"/>
            <w:vAlign w:val="center"/>
          </w:tcPr>
          <w:p>
            <w:pPr>
              <w:widowControl/>
              <w:jc w:val="left"/>
              <w:rPr>
                <w:rFonts w:hint="eastAsia"/>
                <w:color w:val="000000"/>
                <w:sz w:val="24"/>
                <w:szCs w:val="24"/>
              </w:rPr>
            </w:pPr>
            <w:r>
              <w:rPr>
                <w:rFonts w:hint="eastAsia"/>
                <w:color w:val="000000"/>
                <w:sz w:val="24"/>
                <w:szCs w:val="24"/>
              </w:rPr>
              <w:t>175</w:t>
            </w:r>
          </w:p>
        </w:tc>
        <w:tc>
          <w:tcPr>
            <w:tcW w:w="656" w:type="dxa"/>
            <w:noWrap w:val="0"/>
            <w:vAlign w:val="center"/>
          </w:tcPr>
          <w:p>
            <w:pPr>
              <w:widowControl/>
              <w:jc w:val="left"/>
              <w:rPr>
                <w:rFonts w:hint="eastAsia"/>
                <w:color w:val="000000"/>
                <w:sz w:val="24"/>
                <w:szCs w:val="24"/>
              </w:rPr>
            </w:pPr>
            <w:r>
              <w:rPr>
                <w:rFonts w:hint="eastAsia"/>
                <w:color w:val="000000"/>
                <w:sz w:val="24"/>
                <w:szCs w:val="24"/>
              </w:rPr>
              <w:t>m²</w:t>
            </w:r>
          </w:p>
        </w:tc>
        <w:tc>
          <w:tcPr>
            <w:tcW w:w="1590" w:type="dxa"/>
            <w:noWrap w:val="0"/>
            <w:vAlign w:val="center"/>
          </w:tcPr>
          <w:p>
            <w:pPr>
              <w:widowControl/>
              <w:jc w:val="left"/>
              <w:rPr>
                <w:rFonts w:hint="eastAsia"/>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left"/>
              <w:rPr>
                <w:rFonts w:hint="eastAsia"/>
                <w:color w:val="000000"/>
                <w:sz w:val="24"/>
                <w:szCs w:val="24"/>
              </w:rPr>
            </w:pPr>
            <w:r>
              <w:rPr>
                <w:rFonts w:hint="eastAsia"/>
                <w:color w:val="000000"/>
                <w:sz w:val="24"/>
                <w:szCs w:val="24"/>
              </w:rPr>
              <w:t>24</w:t>
            </w:r>
          </w:p>
        </w:tc>
        <w:tc>
          <w:tcPr>
            <w:tcW w:w="1273" w:type="dxa"/>
            <w:noWrap w:val="0"/>
            <w:vAlign w:val="center"/>
          </w:tcPr>
          <w:p>
            <w:pPr>
              <w:widowControl/>
              <w:jc w:val="left"/>
              <w:rPr>
                <w:rFonts w:hint="eastAsia"/>
                <w:color w:val="000000"/>
                <w:sz w:val="24"/>
                <w:szCs w:val="24"/>
              </w:rPr>
            </w:pPr>
            <w:r>
              <w:rPr>
                <w:rFonts w:hint="eastAsia"/>
                <w:color w:val="000000"/>
                <w:sz w:val="24"/>
                <w:szCs w:val="24"/>
              </w:rPr>
              <w:t>材料室内运输上楼搬运费</w:t>
            </w:r>
          </w:p>
        </w:tc>
        <w:tc>
          <w:tcPr>
            <w:tcW w:w="5413" w:type="dxa"/>
            <w:noWrap w:val="0"/>
            <w:vAlign w:val="center"/>
          </w:tcPr>
          <w:p>
            <w:pPr>
              <w:widowControl/>
              <w:jc w:val="left"/>
              <w:rPr>
                <w:rFonts w:hint="eastAsia"/>
                <w:color w:val="000000"/>
                <w:sz w:val="24"/>
                <w:szCs w:val="24"/>
              </w:rPr>
            </w:pPr>
            <w:r>
              <w:rPr>
                <w:rFonts w:hint="eastAsia"/>
                <w:color w:val="000000"/>
                <w:sz w:val="24"/>
                <w:szCs w:val="24"/>
              </w:rPr>
              <w:t>2楼</w:t>
            </w:r>
          </w:p>
        </w:tc>
        <w:tc>
          <w:tcPr>
            <w:tcW w:w="640" w:type="dxa"/>
            <w:noWrap w:val="0"/>
            <w:vAlign w:val="center"/>
          </w:tcPr>
          <w:p>
            <w:pPr>
              <w:widowControl/>
              <w:jc w:val="left"/>
              <w:rPr>
                <w:rFonts w:hint="eastAsia"/>
                <w:color w:val="000000"/>
                <w:sz w:val="24"/>
                <w:szCs w:val="24"/>
              </w:rPr>
            </w:pPr>
            <w:r>
              <w:rPr>
                <w:rFonts w:hint="eastAsia"/>
                <w:color w:val="000000"/>
                <w:sz w:val="24"/>
                <w:szCs w:val="24"/>
              </w:rPr>
              <w:t>175</w:t>
            </w:r>
          </w:p>
        </w:tc>
        <w:tc>
          <w:tcPr>
            <w:tcW w:w="656" w:type="dxa"/>
            <w:noWrap w:val="0"/>
            <w:vAlign w:val="center"/>
          </w:tcPr>
          <w:p>
            <w:pPr>
              <w:widowControl/>
              <w:jc w:val="left"/>
              <w:rPr>
                <w:rFonts w:hint="eastAsia"/>
                <w:color w:val="000000"/>
                <w:sz w:val="24"/>
                <w:szCs w:val="24"/>
              </w:rPr>
            </w:pPr>
            <w:r>
              <w:rPr>
                <w:rFonts w:hint="eastAsia"/>
                <w:color w:val="000000"/>
                <w:sz w:val="24"/>
                <w:szCs w:val="24"/>
              </w:rPr>
              <w:t>m²</w:t>
            </w:r>
          </w:p>
        </w:tc>
        <w:tc>
          <w:tcPr>
            <w:tcW w:w="1590" w:type="dxa"/>
            <w:noWrap w:val="0"/>
            <w:vAlign w:val="center"/>
          </w:tcPr>
          <w:p>
            <w:pPr>
              <w:widowControl/>
              <w:jc w:val="left"/>
              <w:rPr>
                <w:rFonts w:hint="eastAsia"/>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left"/>
              <w:rPr>
                <w:rFonts w:hint="eastAsia"/>
                <w:color w:val="000000"/>
                <w:sz w:val="24"/>
                <w:szCs w:val="24"/>
              </w:rPr>
            </w:pPr>
            <w:r>
              <w:rPr>
                <w:rFonts w:hint="eastAsia"/>
                <w:color w:val="000000"/>
                <w:sz w:val="24"/>
                <w:szCs w:val="24"/>
              </w:rPr>
              <w:t>25</w:t>
            </w:r>
          </w:p>
        </w:tc>
        <w:tc>
          <w:tcPr>
            <w:tcW w:w="1273" w:type="dxa"/>
            <w:noWrap w:val="0"/>
            <w:vAlign w:val="center"/>
          </w:tcPr>
          <w:p>
            <w:pPr>
              <w:widowControl/>
              <w:jc w:val="left"/>
              <w:rPr>
                <w:rFonts w:hint="eastAsia"/>
                <w:color w:val="000000"/>
                <w:sz w:val="24"/>
                <w:szCs w:val="24"/>
              </w:rPr>
            </w:pPr>
            <w:r>
              <w:rPr>
                <w:rFonts w:hint="eastAsia"/>
                <w:color w:val="000000"/>
                <w:sz w:val="24"/>
                <w:szCs w:val="24"/>
              </w:rPr>
              <w:t>完工后保洁费</w:t>
            </w:r>
          </w:p>
        </w:tc>
        <w:tc>
          <w:tcPr>
            <w:tcW w:w="5413" w:type="dxa"/>
            <w:noWrap w:val="0"/>
            <w:vAlign w:val="center"/>
          </w:tcPr>
          <w:p>
            <w:pPr>
              <w:widowControl/>
              <w:jc w:val="left"/>
              <w:rPr>
                <w:rFonts w:hint="eastAsia" w:eastAsia="宋体"/>
                <w:color w:val="000000"/>
                <w:sz w:val="24"/>
                <w:szCs w:val="24"/>
                <w:lang w:val="en-US" w:eastAsia="zh-CN"/>
              </w:rPr>
            </w:pPr>
            <w:r>
              <w:rPr>
                <w:rFonts w:hint="eastAsia"/>
                <w:color w:val="000000"/>
                <w:sz w:val="24"/>
                <w:szCs w:val="24"/>
                <w:lang w:val="en-US" w:eastAsia="zh-CN"/>
              </w:rPr>
              <w:t>全面</w:t>
            </w:r>
            <w:r>
              <w:rPr>
                <w:rFonts w:hint="eastAsia" w:eastAsia="宋体"/>
                <w:color w:val="000000"/>
                <w:sz w:val="24"/>
                <w:szCs w:val="24"/>
                <w:lang w:val="en-US" w:eastAsia="zh-CN"/>
              </w:rPr>
              <w:t>干净卫生，</w:t>
            </w:r>
            <w:r>
              <w:rPr>
                <w:rFonts w:hint="eastAsia"/>
                <w:color w:val="000000"/>
                <w:sz w:val="24"/>
                <w:szCs w:val="24"/>
                <w:lang w:val="en-US" w:eastAsia="zh-CN"/>
              </w:rPr>
              <w:t>无灰尘</w:t>
            </w:r>
            <w:r>
              <w:rPr>
                <w:rFonts w:hint="eastAsia" w:eastAsia="宋体"/>
                <w:color w:val="000000"/>
                <w:sz w:val="24"/>
                <w:szCs w:val="24"/>
                <w:lang w:val="en-US" w:eastAsia="zh-CN"/>
              </w:rPr>
              <w:t>、无白色垃圾</w:t>
            </w:r>
            <w:r>
              <w:rPr>
                <w:rFonts w:hint="eastAsia"/>
                <w:color w:val="000000"/>
                <w:sz w:val="24"/>
                <w:szCs w:val="24"/>
                <w:lang w:val="en-US" w:eastAsia="zh-CN"/>
              </w:rPr>
              <w:t>、</w:t>
            </w:r>
            <w:r>
              <w:rPr>
                <w:rFonts w:hint="eastAsia" w:ascii="宋体" w:hAnsi="宋体" w:cs="宋体"/>
                <w:sz w:val="24"/>
              </w:rPr>
              <w:t>门窗干净明亮</w:t>
            </w:r>
            <w:r>
              <w:rPr>
                <w:rFonts w:hint="eastAsia" w:ascii="宋体" w:hAnsi="宋体" w:cs="宋体"/>
                <w:sz w:val="24"/>
                <w:lang w:eastAsia="zh-CN"/>
              </w:rPr>
              <w:t>、</w:t>
            </w:r>
            <w:r>
              <w:rPr>
                <w:rFonts w:hint="eastAsia" w:ascii="宋体" w:hAnsi="宋体" w:cs="宋体"/>
                <w:sz w:val="24"/>
              </w:rPr>
              <w:t>墙面瓷砖干净，无脏污。</w:t>
            </w:r>
          </w:p>
        </w:tc>
        <w:tc>
          <w:tcPr>
            <w:tcW w:w="640" w:type="dxa"/>
            <w:noWrap w:val="0"/>
            <w:vAlign w:val="center"/>
          </w:tcPr>
          <w:p>
            <w:pPr>
              <w:widowControl/>
              <w:jc w:val="left"/>
              <w:rPr>
                <w:rFonts w:hint="eastAsia"/>
                <w:color w:val="000000"/>
                <w:sz w:val="24"/>
                <w:szCs w:val="24"/>
              </w:rPr>
            </w:pPr>
            <w:r>
              <w:rPr>
                <w:rFonts w:hint="eastAsia"/>
                <w:color w:val="000000"/>
                <w:sz w:val="24"/>
                <w:szCs w:val="24"/>
              </w:rPr>
              <w:t>175</w:t>
            </w:r>
          </w:p>
        </w:tc>
        <w:tc>
          <w:tcPr>
            <w:tcW w:w="656" w:type="dxa"/>
            <w:noWrap w:val="0"/>
            <w:vAlign w:val="center"/>
          </w:tcPr>
          <w:p>
            <w:pPr>
              <w:widowControl/>
              <w:jc w:val="left"/>
              <w:rPr>
                <w:rFonts w:hint="eastAsia"/>
                <w:color w:val="000000"/>
                <w:sz w:val="24"/>
                <w:szCs w:val="24"/>
              </w:rPr>
            </w:pPr>
            <w:r>
              <w:rPr>
                <w:rFonts w:hint="eastAsia"/>
                <w:color w:val="000000"/>
                <w:sz w:val="24"/>
                <w:szCs w:val="24"/>
              </w:rPr>
              <w:t>m²</w:t>
            </w:r>
          </w:p>
        </w:tc>
        <w:tc>
          <w:tcPr>
            <w:tcW w:w="1590" w:type="dxa"/>
            <w:noWrap w:val="0"/>
            <w:vAlign w:val="center"/>
          </w:tcPr>
          <w:p>
            <w:pPr>
              <w:widowControl/>
              <w:jc w:val="left"/>
              <w:rPr>
                <w:rFonts w:hint="eastAsia"/>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left"/>
              <w:rPr>
                <w:rFonts w:hint="eastAsia"/>
                <w:color w:val="000000"/>
                <w:sz w:val="24"/>
                <w:szCs w:val="24"/>
              </w:rPr>
            </w:pPr>
            <w:r>
              <w:rPr>
                <w:rFonts w:hint="eastAsia"/>
                <w:color w:val="000000"/>
                <w:sz w:val="24"/>
                <w:szCs w:val="24"/>
              </w:rPr>
              <w:t>26</w:t>
            </w:r>
          </w:p>
        </w:tc>
        <w:tc>
          <w:tcPr>
            <w:tcW w:w="1273" w:type="dxa"/>
            <w:noWrap w:val="0"/>
            <w:vAlign w:val="center"/>
          </w:tcPr>
          <w:p>
            <w:pPr>
              <w:widowControl/>
              <w:jc w:val="left"/>
              <w:rPr>
                <w:rFonts w:hint="eastAsia"/>
                <w:color w:val="000000"/>
                <w:sz w:val="24"/>
                <w:szCs w:val="24"/>
              </w:rPr>
            </w:pPr>
            <w:r>
              <w:rPr>
                <w:rFonts w:hint="eastAsia"/>
                <w:color w:val="000000"/>
                <w:sz w:val="24"/>
                <w:szCs w:val="24"/>
              </w:rPr>
              <w:t>消防应急灯</w:t>
            </w:r>
          </w:p>
        </w:tc>
        <w:tc>
          <w:tcPr>
            <w:tcW w:w="5413" w:type="dxa"/>
            <w:noWrap w:val="0"/>
            <w:vAlign w:val="center"/>
          </w:tcPr>
          <w:p>
            <w:pPr>
              <w:widowControl/>
              <w:jc w:val="left"/>
              <w:rPr>
                <w:rFonts w:hint="eastAsia"/>
                <w:color w:val="000000"/>
                <w:sz w:val="24"/>
                <w:szCs w:val="24"/>
              </w:rPr>
            </w:pPr>
            <w:r>
              <w:rPr>
                <w:rFonts w:hint="eastAsia"/>
                <w:color w:val="000000"/>
                <w:sz w:val="24"/>
                <w:szCs w:val="24"/>
              </w:rPr>
              <w:t>消防应急灯</w:t>
            </w:r>
          </w:p>
        </w:tc>
        <w:tc>
          <w:tcPr>
            <w:tcW w:w="640" w:type="dxa"/>
            <w:noWrap w:val="0"/>
            <w:vAlign w:val="center"/>
          </w:tcPr>
          <w:p>
            <w:pPr>
              <w:widowControl/>
              <w:jc w:val="left"/>
              <w:rPr>
                <w:rFonts w:hint="eastAsia"/>
                <w:color w:val="000000"/>
                <w:sz w:val="24"/>
                <w:szCs w:val="24"/>
              </w:rPr>
            </w:pPr>
            <w:r>
              <w:rPr>
                <w:rFonts w:hint="eastAsia"/>
                <w:color w:val="000000"/>
                <w:sz w:val="24"/>
                <w:szCs w:val="24"/>
              </w:rPr>
              <w:t>2</w:t>
            </w:r>
          </w:p>
        </w:tc>
        <w:tc>
          <w:tcPr>
            <w:tcW w:w="656" w:type="dxa"/>
            <w:noWrap w:val="0"/>
            <w:vAlign w:val="center"/>
          </w:tcPr>
          <w:p>
            <w:pPr>
              <w:widowControl/>
              <w:jc w:val="left"/>
              <w:rPr>
                <w:rFonts w:hint="eastAsia"/>
                <w:color w:val="000000"/>
                <w:sz w:val="24"/>
                <w:szCs w:val="24"/>
              </w:rPr>
            </w:pPr>
            <w:r>
              <w:rPr>
                <w:rFonts w:hint="eastAsia"/>
                <w:color w:val="000000"/>
                <w:sz w:val="24"/>
                <w:szCs w:val="24"/>
              </w:rPr>
              <w:t>个</w:t>
            </w:r>
          </w:p>
        </w:tc>
        <w:tc>
          <w:tcPr>
            <w:tcW w:w="1590" w:type="dxa"/>
            <w:noWrap w:val="0"/>
            <w:vAlign w:val="center"/>
          </w:tcPr>
          <w:p>
            <w:pPr>
              <w:widowControl/>
              <w:jc w:val="left"/>
              <w:rPr>
                <w:rFonts w:hint="eastAsia"/>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left"/>
              <w:rPr>
                <w:rFonts w:hint="eastAsia"/>
                <w:color w:val="000000"/>
                <w:sz w:val="24"/>
                <w:szCs w:val="24"/>
              </w:rPr>
            </w:pPr>
            <w:r>
              <w:rPr>
                <w:rFonts w:hint="eastAsia"/>
                <w:color w:val="000000"/>
                <w:sz w:val="24"/>
                <w:szCs w:val="24"/>
              </w:rPr>
              <w:t>27</w:t>
            </w:r>
          </w:p>
        </w:tc>
        <w:tc>
          <w:tcPr>
            <w:tcW w:w="1273" w:type="dxa"/>
            <w:noWrap w:val="0"/>
            <w:vAlign w:val="center"/>
          </w:tcPr>
          <w:p>
            <w:pPr>
              <w:widowControl/>
              <w:jc w:val="left"/>
              <w:rPr>
                <w:rFonts w:hint="eastAsia"/>
                <w:color w:val="000000"/>
                <w:sz w:val="24"/>
                <w:szCs w:val="24"/>
              </w:rPr>
            </w:pPr>
            <w:r>
              <w:rPr>
                <w:rFonts w:hint="eastAsia"/>
                <w:color w:val="000000"/>
                <w:sz w:val="24"/>
                <w:szCs w:val="24"/>
              </w:rPr>
              <w:t>疏散指示灯</w:t>
            </w:r>
          </w:p>
        </w:tc>
        <w:tc>
          <w:tcPr>
            <w:tcW w:w="5413" w:type="dxa"/>
            <w:noWrap w:val="0"/>
            <w:vAlign w:val="center"/>
          </w:tcPr>
          <w:p>
            <w:pPr>
              <w:widowControl/>
              <w:jc w:val="left"/>
              <w:rPr>
                <w:rFonts w:hint="eastAsia"/>
                <w:color w:val="000000"/>
                <w:sz w:val="24"/>
                <w:szCs w:val="24"/>
              </w:rPr>
            </w:pPr>
            <w:r>
              <w:rPr>
                <w:rFonts w:hint="eastAsia"/>
                <w:color w:val="000000"/>
                <w:sz w:val="24"/>
                <w:szCs w:val="24"/>
              </w:rPr>
              <w:t>疏散指示灯</w:t>
            </w:r>
          </w:p>
        </w:tc>
        <w:tc>
          <w:tcPr>
            <w:tcW w:w="640" w:type="dxa"/>
            <w:noWrap w:val="0"/>
            <w:vAlign w:val="center"/>
          </w:tcPr>
          <w:p>
            <w:pPr>
              <w:widowControl/>
              <w:jc w:val="left"/>
              <w:rPr>
                <w:rFonts w:hint="eastAsia"/>
                <w:color w:val="000000"/>
                <w:sz w:val="24"/>
                <w:szCs w:val="24"/>
              </w:rPr>
            </w:pPr>
            <w:r>
              <w:rPr>
                <w:rFonts w:hint="eastAsia"/>
                <w:color w:val="000000"/>
                <w:sz w:val="24"/>
                <w:szCs w:val="24"/>
              </w:rPr>
              <w:t>2</w:t>
            </w:r>
          </w:p>
        </w:tc>
        <w:tc>
          <w:tcPr>
            <w:tcW w:w="656" w:type="dxa"/>
            <w:noWrap w:val="0"/>
            <w:vAlign w:val="center"/>
          </w:tcPr>
          <w:p>
            <w:pPr>
              <w:widowControl/>
              <w:jc w:val="left"/>
              <w:rPr>
                <w:rFonts w:hint="eastAsia"/>
                <w:color w:val="000000"/>
                <w:sz w:val="24"/>
                <w:szCs w:val="24"/>
              </w:rPr>
            </w:pPr>
            <w:r>
              <w:rPr>
                <w:rFonts w:hint="eastAsia"/>
                <w:color w:val="000000"/>
                <w:sz w:val="24"/>
                <w:szCs w:val="24"/>
              </w:rPr>
              <w:t>个</w:t>
            </w:r>
          </w:p>
        </w:tc>
        <w:tc>
          <w:tcPr>
            <w:tcW w:w="1590" w:type="dxa"/>
            <w:noWrap w:val="0"/>
            <w:vAlign w:val="center"/>
          </w:tcPr>
          <w:p>
            <w:pPr>
              <w:widowControl/>
              <w:jc w:val="left"/>
              <w:rPr>
                <w:rFonts w:hint="eastAsia"/>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left"/>
              <w:rPr>
                <w:rFonts w:hint="eastAsia"/>
                <w:color w:val="000000"/>
                <w:sz w:val="24"/>
                <w:szCs w:val="24"/>
              </w:rPr>
            </w:pPr>
            <w:r>
              <w:rPr>
                <w:rFonts w:hint="eastAsia"/>
                <w:color w:val="000000"/>
                <w:sz w:val="24"/>
                <w:szCs w:val="24"/>
              </w:rPr>
              <w:t>28</w:t>
            </w:r>
          </w:p>
        </w:tc>
        <w:tc>
          <w:tcPr>
            <w:tcW w:w="1273" w:type="dxa"/>
            <w:noWrap w:val="0"/>
            <w:vAlign w:val="center"/>
          </w:tcPr>
          <w:p>
            <w:pPr>
              <w:widowControl/>
              <w:jc w:val="left"/>
              <w:rPr>
                <w:rFonts w:hint="eastAsia"/>
                <w:color w:val="000000"/>
                <w:sz w:val="24"/>
                <w:szCs w:val="24"/>
              </w:rPr>
            </w:pPr>
            <w:r>
              <w:rPr>
                <w:rFonts w:hint="eastAsia"/>
                <w:color w:val="000000"/>
                <w:sz w:val="24"/>
                <w:szCs w:val="24"/>
              </w:rPr>
              <w:t>成品地面遮蔽保护</w:t>
            </w:r>
          </w:p>
        </w:tc>
        <w:tc>
          <w:tcPr>
            <w:tcW w:w="5413" w:type="dxa"/>
            <w:noWrap w:val="0"/>
            <w:vAlign w:val="center"/>
          </w:tcPr>
          <w:p>
            <w:pPr>
              <w:widowControl/>
              <w:jc w:val="left"/>
              <w:rPr>
                <w:rFonts w:hint="eastAsia"/>
                <w:color w:val="000000"/>
                <w:sz w:val="24"/>
                <w:szCs w:val="24"/>
              </w:rPr>
            </w:pPr>
            <w:r>
              <w:rPr>
                <w:rFonts w:hint="eastAsia"/>
                <w:color w:val="000000"/>
                <w:sz w:val="24"/>
                <w:szCs w:val="24"/>
              </w:rPr>
              <w:t>专业保护膜</w:t>
            </w:r>
          </w:p>
        </w:tc>
        <w:tc>
          <w:tcPr>
            <w:tcW w:w="640" w:type="dxa"/>
            <w:noWrap w:val="0"/>
            <w:vAlign w:val="center"/>
          </w:tcPr>
          <w:p>
            <w:pPr>
              <w:widowControl/>
              <w:jc w:val="left"/>
              <w:rPr>
                <w:rFonts w:hint="eastAsia"/>
                <w:color w:val="000000"/>
                <w:sz w:val="24"/>
                <w:szCs w:val="24"/>
              </w:rPr>
            </w:pPr>
            <w:r>
              <w:rPr>
                <w:rFonts w:hint="eastAsia"/>
                <w:color w:val="000000"/>
                <w:sz w:val="24"/>
                <w:szCs w:val="24"/>
              </w:rPr>
              <w:t>175</w:t>
            </w:r>
          </w:p>
        </w:tc>
        <w:tc>
          <w:tcPr>
            <w:tcW w:w="656" w:type="dxa"/>
            <w:noWrap w:val="0"/>
            <w:vAlign w:val="center"/>
          </w:tcPr>
          <w:p>
            <w:pPr>
              <w:widowControl/>
              <w:jc w:val="left"/>
              <w:rPr>
                <w:rFonts w:hint="eastAsia"/>
                <w:color w:val="000000"/>
                <w:sz w:val="24"/>
                <w:szCs w:val="24"/>
              </w:rPr>
            </w:pPr>
            <w:r>
              <w:rPr>
                <w:rFonts w:hint="eastAsia"/>
                <w:color w:val="000000"/>
                <w:sz w:val="24"/>
                <w:szCs w:val="24"/>
              </w:rPr>
              <w:t>m²</w:t>
            </w:r>
          </w:p>
        </w:tc>
        <w:tc>
          <w:tcPr>
            <w:tcW w:w="1590" w:type="dxa"/>
            <w:noWrap w:val="0"/>
            <w:vAlign w:val="center"/>
          </w:tcPr>
          <w:p>
            <w:pPr>
              <w:widowControl/>
              <w:jc w:val="left"/>
              <w:rPr>
                <w:rFonts w:hint="eastAsia"/>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left"/>
              <w:rPr>
                <w:rFonts w:hint="eastAsia"/>
                <w:color w:val="000000"/>
                <w:sz w:val="24"/>
                <w:szCs w:val="24"/>
              </w:rPr>
            </w:pPr>
            <w:r>
              <w:rPr>
                <w:rFonts w:hint="eastAsia"/>
                <w:color w:val="000000"/>
                <w:sz w:val="24"/>
                <w:szCs w:val="24"/>
              </w:rPr>
              <w:t>29</w:t>
            </w:r>
          </w:p>
        </w:tc>
        <w:tc>
          <w:tcPr>
            <w:tcW w:w="1273" w:type="dxa"/>
            <w:noWrap w:val="0"/>
            <w:vAlign w:val="center"/>
          </w:tcPr>
          <w:p>
            <w:pPr>
              <w:widowControl/>
              <w:jc w:val="left"/>
              <w:rPr>
                <w:rFonts w:hint="eastAsia"/>
                <w:color w:val="000000"/>
                <w:sz w:val="24"/>
                <w:szCs w:val="24"/>
              </w:rPr>
            </w:pPr>
            <w:r>
              <w:rPr>
                <w:rFonts w:hint="eastAsia"/>
                <w:color w:val="000000"/>
                <w:sz w:val="24"/>
                <w:szCs w:val="24"/>
              </w:rPr>
              <w:t>亚克力雕刻字</w:t>
            </w:r>
          </w:p>
        </w:tc>
        <w:tc>
          <w:tcPr>
            <w:tcW w:w="5413" w:type="dxa"/>
            <w:noWrap w:val="0"/>
            <w:vAlign w:val="center"/>
          </w:tcPr>
          <w:p>
            <w:pPr>
              <w:widowControl/>
              <w:jc w:val="left"/>
              <w:rPr>
                <w:rFonts w:hint="eastAsia"/>
                <w:color w:val="000000"/>
                <w:sz w:val="24"/>
                <w:szCs w:val="24"/>
              </w:rPr>
            </w:pPr>
            <w:r>
              <w:rPr>
                <w:rFonts w:hint="eastAsia"/>
                <w:color w:val="000000"/>
                <w:sz w:val="24"/>
                <w:szCs w:val="24"/>
              </w:rPr>
              <w:t>1.5CM亚克力雕刻面饰有机板。</w:t>
            </w:r>
          </w:p>
        </w:tc>
        <w:tc>
          <w:tcPr>
            <w:tcW w:w="640" w:type="dxa"/>
            <w:noWrap w:val="0"/>
            <w:vAlign w:val="center"/>
          </w:tcPr>
          <w:p>
            <w:pPr>
              <w:widowControl/>
              <w:jc w:val="left"/>
              <w:rPr>
                <w:rFonts w:hint="eastAsia"/>
                <w:color w:val="000000"/>
                <w:sz w:val="24"/>
                <w:szCs w:val="24"/>
              </w:rPr>
            </w:pPr>
            <w:r>
              <w:rPr>
                <w:rFonts w:hint="eastAsia"/>
                <w:color w:val="000000"/>
                <w:sz w:val="24"/>
                <w:szCs w:val="24"/>
              </w:rPr>
              <w:t>1</w:t>
            </w:r>
          </w:p>
        </w:tc>
        <w:tc>
          <w:tcPr>
            <w:tcW w:w="656" w:type="dxa"/>
            <w:noWrap w:val="0"/>
            <w:vAlign w:val="center"/>
          </w:tcPr>
          <w:p>
            <w:pPr>
              <w:widowControl/>
              <w:jc w:val="left"/>
              <w:rPr>
                <w:rFonts w:hint="eastAsia"/>
                <w:color w:val="000000"/>
                <w:sz w:val="24"/>
                <w:szCs w:val="24"/>
              </w:rPr>
            </w:pPr>
            <w:r>
              <w:rPr>
                <w:rFonts w:hint="eastAsia"/>
                <w:color w:val="000000"/>
                <w:sz w:val="24"/>
                <w:szCs w:val="24"/>
              </w:rPr>
              <w:t>项</w:t>
            </w:r>
          </w:p>
        </w:tc>
        <w:tc>
          <w:tcPr>
            <w:tcW w:w="1590" w:type="dxa"/>
            <w:noWrap w:val="0"/>
            <w:vAlign w:val="center"/>
          </w:tcPr>
          <w:p>
            <w:pPr>
              <w:widowControl/>
              <w:jc w:val="left"/>
              <w:rPr>
                <w:rFonts w:hint="eastAsia"/>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left"/>
              <w:rPr>
                <w:rFonts w:hint="eastAsia"/>
                <w:color w:val="000000"/>
                <w:sz w:val="24"/>
                <w:szCs w:val="24"/>
              </w:rPr>
            </w:pPr>
            <w:r>
              <w:rPr>
                <w:rFonts w:hint="eastAsia"/>
                <w:color w:val="000000"/>
                <w:sz w:val="24"/>
                <w:szCs w:val="24"/>
              </w:rPr>
              <w:t>30</w:t>
            </w:r>
          </w:p>
        </w:tc>
        <w:tc>
          <w:tcPr>
            <w:tcW w:w="1273" w:type="dxa"/>
            <w:noWrap w:val="0"/>
            <w:vAlign w:val="center"/>
          </w:tcPr>
          <w:p>
            <w:pPr>
              <w:widowControl/>
              <w:jc w:val="left"/>
              <w:rPr>
                <w:rFonts w:hint="eastAsia"/>
                <w:color w:val="000000"/>
                <w:sz w:val="24"/>
                <w:szCs w:val="24"/>
              </w:rPr>
            </w:pPr>
            <w:r>
              <w:rPr>
                <w:rFonts w:hint="eastAsia"/>
                <w:color w:val="000000"/>
                <w:sz w:val="24"/>
                <w:szCs w:val="24"/>
              </w:rPr>
              <w:t>服务大厅导视牌</w:t>
            </w:r>
          </w:p>
        </w:tc>
        <w:tc>
          <w:tcPr>
            <w:tcW w:w="5413" w:type="dxa"/>
            <w:noWrap w:val="0"/>
            <w:vAlign w:val="center"/>
          </w:tcPr>
          <w:p>
            <w:pPr>
              <w:widowControl/>
              <w:jc w:val="left"/>
              <w:rPr>
                <w:rFonts w:hint="eastAsia"/>
                <w:color w:val="000000"/>
                <w:sz w:val="24"/>
                <w:szCs w:val="24"/>
              </w:rPr>
            </w:pPr>
            <w:r>
              <w:rPr>
                <w:rFonts w:hint="eastAsia"/>
                <w:color w:val="000000"/>
                <w:sz w:val="24"/>
                <w:szCs w:val="24"/>
              </w:rPr>
              <w:t>采用2CMPVC板UV打印标识和海报软膜灯箱</w:t>
            </w:r>
          </w:p>
        </w:tc>
        <w:tc>
          <w:tcPr>
            <w:tcW w:w="640" w:type="dxa"/>
            <w:noWrap w:val="0"/>
            <w:vAlign w:val="center"/>
          </w:tcPr>
          <w:p>
            <w:pPr>
              <w:widowControl/>
              <w:jc w:val="left"/>
              <w:rPr>
                <w:rFonts w:hint="eastAsia"/>
                <w:color w:val="000000"/>
                <w:sz w:val="24"/>
                <w:szCs w:val="24"/>
              </w:rPr>
            </w:pPr>
            <w:r>
              <w:rPr>
                <w:rFonts w:hint="eastAsia"/>
                <w:color w:val="000000"/>
                <w:sz w:val="24"/>
                <w:szCs w:val="24"/>
              </w:rPr>
              <w:t>1</w:t>
            </w:r>
          </w:p>
        </w:tc>
        <w:tc>
          <w:tcPr>
            <w:tcW w:w="656" w:type="dxa"/>
            <w:noWrap w:val="0"/>
            <w:vAlign w:val="center"/>
          </w:tcPr>
          <w:p>
            <w:pPr>
              <w:widowControl/>
              <w:jc w:val="left"/>
              <w:rPr>
                <w:rFonts w:hint="eastAsia"/>
                <w:color w:val="000000"/>
                <w:sz w:val="24"/>
                <w:szCs w:val="24"/>
              </w:rPr>
            </w:pPr>
            <w:r>
              <w:rPr>
                <w:rFonts w:hint="eastAsia"/>
                <w:color w:val="000000"/>
                <w:sz w:val="24"/>
                <w:szCs w:val="24"/>
              </w:rPr>
              <w:t>项</w:t>
            </w:r>
          </w:p>
        </w:tc>
        <w:tc>
          <w:tcPr>
            <w:tcW w:w="1590" w:type="dxa"/>
            <w:noWrap w:val="0"/>
            <w:vAlign w:val="center"/>
          </w:tcPr>
          <w:p>
            <w:pPr>
              <w:widowControl/>
              <w:jc w:val="left"/>
              <w:rPr>
                <w:rFonts w:hint="eastAsia"/>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left"/>
              <w:rPr>
                <w:rFonts w:hint="eastAsia"/>
                <w:color w:val="000000"/>
                <w:sz w:val="24"/>
                <w:szCs w:val="24"/>
              </w:rPr>
            </w:pPr>
            <w:r>
              <w:rPr>
                <w:rFonts w:hint="eastAsia"/>
                <w:color w:val="000000"/>
                <w:sz w:val="24"/>
                <w:szCs w:val="24"/>
              </w:rPr>
              <w:t>31</w:t>
            </w:r>
          </w:p>
        </w:tc>
        <w:tc>
          <w:tcPr>
            <w:tcW w:w="1273" w:type="dxa"/>
            <w:noWrap w:val="0"/>
            <w:vAlign w:val="center"/>
          </w:tcPr>
          <w:p>
            <w:pPr>
              <w:widowControl/>
              <w:jc w:val="left"/>
              <w:rPr>
                <w:rFonts w:hint="eastAsia"/>
                <w:color w:val="000000"/>
                <w:sz w:val="24"/>
                <w:szCs w:val="24"/>
              </w:rPr>
            </w:pPr>
            <w:r>
              <w:rPr>
                <w:rFonts w:hint="eastAsia"/>
                <w:color w:val="000000"/>
                <w:sz w:val="24"/>
                <w:szCs w:val="24"/>
              </w:rPr>
              <w:t>不锈钢拉丝牌</w:t>
            </w:r>
          </w:p>
        </w:tc>
        <w:tc>
          <w:tcPr>
            <w:tcW w:w="5413" w:type="dxa"/>
            <w:noWrap w:val="0"/>
            <w:vAlign w:val="center"/>
          </w:tcPr>
          <w:p>
            <w:pPr>
              <w:widowControl/>
              <w:jc w:val="left"/>
              <w:rPr>
                <w:rFonts w:hint="eastAsia"/>
                <w:color w:val="000000"/>
                <w:sz w:val="24"/>
                <w:szCs w:val="24"/>
              </w:rPr>
            </w:pPr>
            <w:r>
              <w:rPr>
                <w:rFonts w:hint="eastAsia"/>
                <w:color w:val="000000"/>
                <w:sz w:val="24"/>
                <w:szCs w:val="24"/>
              </w:rPr>
              <w:t>1.5cm厚PVC+1.0mm厚不锈钢拉丝</w:t>
            </w:r>
          </w:p>
        </w:tc>
        <w:tc>
          <w:tcPr>
            <w:tcW w:w="640" w:type="dxa"/>
            <w:noWrap w:val="0"/>
            <w:vAlign w:val="center"/>
          </w:tcPr>
          <w:p>
            <w:pPr>
              <w:widowControl/>
              <w:jc w:val="left"/>
              <w:rPr>
                <w:rFonts w:hint="eastAsia"/>
                <w:color w:val="000000"/>
                <w:sz w:val="24"/>
                <w:szCs w:val="24"/>
              </w:rPr>
            </w:pPr>
            <w:r>
              <w:rPr>
                <w:rFonts w:hint="eastAsia"/>
                <w:color w:val="000000"/>
                <w:sz w:val="24"/>
                <w:szCs w:val="24"/>
              </w:rPr>
              <w:t>300</w:t>
            </w:r>
          </w:p>
        </w:tc>
        <w:tc>
          <w:tcPr>
            <w:tcW w:w="656" w:type="dxa"/>
            <w:noWrap w:val="0"/>
            <w:vAlign w:val="center"/>
          </w:tcPr>
          <w:p>
            <w:pPr>
              <w:widowControl/>
              <w:jc w:val="left"/>
              <w:rPr>
                <w:rFonts w:hint="eastAsia"/>
                <w:color w:val="000000"/>
                <w:sz w:val="24"/>
                <w:szCs w:val="24"/>
              </w:rPr>
            </w:pPr>
            <w:r>
              <w:rPr>
                <w:rFonts w:hint="eastAsia"/>
                <w:color w:val="000000"/>
                <w:sz w:val="24"/>
                <w:szCs w:val="24"/>
              </w:rPr>
              <w:t>cm</w:t>
            </w:r>
          </w:p>
        </w:tc>
        <w:tc>
          <w:tcPr>
            <w:tcW w:w="1590" w:type="dxa"/>
            <w:noWrap w:val="0"/>
            <w:vAlign w:val="center"/>
          </w:tcPr>
          <w:p>
            <w:pPr>
              <w:widowControl/>
              <w:jc w:val="left"/>
              <w:rPr>
                <w:rFonts w:hint="eastAsia"/>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left"/>
              <w:rPr>
                <w:rFonts w:hint="eastAsia"/>
                <w:color w:val="000000"/>
                <w:sz w:val="24"/>
                <w:szCs w:val="24"/>
              </w:rPr>
            </w:pPr>
            <w:r>
              <w:rPr>
                <w:rFonts w:hint="eastAsia"/>
                <w:color w:val="000000"/>
                <w:sz w:val="24"/>
                <w:szCs w:val="24"/>
              </w:rPr>
              <w:t>32</w:t>
            </w:r>
          </w:p>
        </w:tc>
        <w:tc>
          <w:tcPr>
            <w:tcW w:w="1273" w:type="dxa"/>
            <w:noWrap w:val="0"/>
            <w:vAlign w:val="center"/>
          </w:tcPr>
          <w:p>
            <w:pPr>
              <w:widowControl/>
              <w:jc w:val="left"/>
              <w:rPr>
                <w:rFonts w:hint="eastAsia"/>
                <w:color w:val="000000"/>
                <w:sz w:val="24"/>
                <w:szCs w:val="24"/>
              </w:rPr>
            </w:pPr>
            <w:r>
              <w:rPr>
                <w:rFonts w:hint="eastAsia"/>
                <w:color w:val="000000"/>
                <w:sz w:val="24"/>
                <w:szCs w:val="24"/>
              </w:rPr>
              <w:t>职责制度牌</w:t>
            </w:r>
          </w:p>
        </w:tc>
        <w:tc>
          <w:tcPr>
            <w:tcW w:w="5413" w:type="dxa"/>
            <w:noWrap w:val="0"/>
            <w:vAlign w:val="center"/>
          </w:tcPr>
          <w:p>
            <w:pPr>
              <w:widowControl/>
              <w:jc w:val="left"/>
              <w:rPr>
                <w:rFonts w:hint="eastAsia"/>
                <w:color w:val="000000"/>
                <w:sz w:val="24"/>
                <w:szCs w:val="24"/>
              </w:rPr>
            </w:pPr>
            <w:r>
              <w:rPr>
                <w:rFonts w:hint="eastAsia"/>
                <w:color w:val="000000"/>
                <w:sz w:val="24"/>
                <w:szCs w:val="24"/>
              </w:rPr>
              <w:t xml:space="preserve">600mm*800mm的1cm厚水晶板+UV </w:t>
            </w:r>
          </w:p>
        </w:tc>
        <w:tc>
          <w:tcPr>
            <w:tcW w:w="640" w:type="dxa"/>
            <w:noWrap w:val="0"/>
            <w:vAlign w:val="center"/>
          </w:tcPr>
          <w:p>
            <w:pPr>
              <w:widowControl/>
              <w:jc w:val="left"/>
              <w:rPr>
                <w:rFonts w:hint="eastAsia"/>
                <w:color w:val="000000"/>
                <w:sz w:val="24"/>
                <w:szCs w:val="24"/>
              </w:rPr>
            </w:pPr>
            <w:r>
              <w:rPr>
                <w:rFonts w:hint="eastAsia"/>
                <w:color w:val="000000"/>
                <w:sz w:val="24"/>
                <w:szCs w:val="24"/>
              </w:rPr>
              <w:t>24</w:t>
            </w:r>
          </w:p>
        </w:tc>
        <w:tc>
          <w:tcPr>
            <w:tcW w:w="656" w:type="dxa"/>
            <w:noWrap w:val="0"/>
            <w:vAlign w:val="center"/>
          </w:tcPr>
          <w:p>
            <w:pPr>
              <w:widowControl/>
              <w:jc w:val="left"/>
              <w:rPr>
                <w:rFonts w:hint="eastAsia"/>
                <w:color w:val="000000"/>
                <w:sz w:val="24"/>
                <w:szCs w:val="24"/>
              </w:rPr>
            </w:pPr>
            <w:r>
              <w:rPr>
                <w:rFonts w:hint="eastAsia"/>
                <w:color w:val="000000"/>
                <w:sz w:val="24"/>
                <w:szCs w:val="24"/>
              </w:rPr>
              <w:t>个</w:t>
            </w:r>
          </w:p>
        </w:tc>
        <w:tc>
          <w:tcPr>
            <w:tcW w:w="1590" w:type="dxa"/>
            <w:noWrap w:val="0"/>
            <w:vAlign w:val="center"/>
          </w:tcPr>
          <w:p>
            <w:pPr>
              <w:widowControl/>
              <w:jc w:val="left"/>
              <w:rPr>
                <w:rFonts w:hint="eastAsia"/>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left"/>
              <w:rPr>
                <w:rFonts w:hint="eastAsia"/>
                <w:color w:val="000000"/>
                <w:sz w:val="24"/>
                <w:szCs w:val="24"/>
              </w:rPr>
            </w:pPr>
            <w:r>
              <w:rPr>
                <w:rFonts w:hint="eastAsia"/>
                <w:color w:val="000000"/>
                <w:sz w:val="24"/>
                <w:szCs w:val="24"/>
              </w:rPr>
              <w:t>33</w:t>
            </w:r>
          </w:p>
        </w:tc>
        <w:tc>
          <w:tcPr>
            <w:tcW w:w="1273" w:type="dxa"/>
            <w:noWrap w:val="0"/>
            <w:vAlign w:val="center"/>
          </w:tcPr>
          <w:p>
            <w:pPr>
              <w:widowControl/>
              <w:jc w:val="left"/>
              <w:rPr>
                <w:rFonts w:hint="eastAsia"/>
                <w:color w:val="000000"/>
                <w:sz w:val="24"/>
                <w:szCs w:val="24"/>
              </w:rPr>
            </w:pPr>
            <w:r>
              <w:rPr>
                <w:rFonts w:hint="eastAsia"/>
                <w:color w:val="000000"/>
                <w:sz w:val="24"/>
                <w:szCs w:val="24"/>
              </w:rPr>
              <w:t>沙发</w:t>
            </w:r>
          </w:p>
        </w:tc>
        <w:tc>
          <w:tcPr>
            <w:tcW w:w="5413" w:type="dxa"/>
            <w:noWrap w:val="0"/>
            <w:vAlign w:val="center"/>
          </w:tcPr>
          <w:p>
            <w:pPr>
              <w:widowControl/>
              <w:jc w:val="left"/>
              <w:rPr>
                <w:rFonts w:hint="eastAsia"/>
                <w:color w:val="000000"/>
                <w:sz w:val="24"/>
                <w:szCs w:val="24"/>
              </w:rPr>
            </w:pPr>
            <w:r>
              <w:rPr>
                <w:rFonts w:hint="eastAsia"/>
                <w:color w:val="000000"/>
                <w:sz w:val="24"/>
                <w:szCs w:val="24"/>
              </w:rPr>
              <w:t>材质：棉类，颜色、尺寸按效果图定制</w:t>
            </w:r>
          </w:p>
        </w:tc>
        <w:tc>
          <w:tcPr>
            <w:tcW w:w="640" w:type="dxa"/>
            <w:noWrap w:val="0"/>
            <w:vAlign w:val="center"/>
          </w:tcPr>
          <w:p>
            <w:pPr>
              <w:widowControl/>
              <w:jc w:val="left"/>
              <w:rPr>
                <w:rFonts w:hint="eastAsia"/>
                <w:color w:val="000000"/>
                <w:sz w:val="24"/>
                <w:szCs w:val="24"/>
              </w:rPr>
            </w:pPr>
            <w:r>
              <w:rPr>
                <w:rFonts w:hint="eastAsia"/>
                <w:color w:val="000000"/>
                <w:sz w:val="24"/>
                <w:szCs w:val="24"/>
              </w:rPr>
              <w:t>2</w:t>
            </w:r>
          </w:p>
        </w:tc>
        <w:tc>
          <w:tcPr>
            <w:tcW w:w="656" w:type="dxa"/>
            <w:noWrap w:val="0"/>
            <w:vAlign w:val="center"/>
          </w:tcPr>
          <w:p>
            <w:pPr>
              <w:widowControl/>
              <w:jc w:val="left"/>
              <w:rPr>
                <w:rFonts w:hint="eastAsia"/>
                <w:color w:val="000000"/>
                <w:sz w:val="24"/>
                <w:szCs w:val="24"/>
              </w:rPr>
            </w:pPr>
            <w:r>
              <w:rPr>
                <w:rFonts w:hint="eastAsia"/>
                <w:color w:val="000000"/>
                <w:sz w:val="24"/>
                <w:szCs w:val="24"/>
              </w:rPr>
              <w:t>张</w:t>
            </w:r>
          </w:p>
        </w:tc>
        <w:tc>
          <w:tcPr>
            <w:tcW w:w="1590" w:type="dxa"/>
            <w:noWrap w:val="0"/>
            <w:vAlign w:val="center"/>
          </w:tcPr>
          <w:p>
            <w:pPr>
              <w:widowControl/>
              <w:jc w:val="left"/>
              <w:rPr>
                <w:rFonts w:hint="eastAsia"/>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left"/>
              <w:rPr>
                <w:rFonts w:hint="eastAsia"/>
                <w:color w:val="000000"/>
                <w:sz w:val="24"/>
                <w:szCs w:val="24"/>
              </w:rPr>
            </w:pPr>
            <w:r>
              <w:rPr>
                <w:rFonts w:hint="eastAsia"/>
                <w:color w:val="000000"/>
                <w:sz w:val="24"/>
                <w:szCs w:val="24"/>
              </w:rPr>
              <w:t>34</w:t>
            </w:r>
          </w:p>
        </w:tc>
        <w:tc>
          <w:tcPr>
            <w:tcW w:w="1273" w:type="dxa"/>
            <w:noWrap w:val="0"/>
            <w:vAlign w:val="center"/>
          </w:tcPr>
          <w:p>
            <w:pPr>
              <w:widowControl/>
              <w:jc w:val="left"/>
              <w:rPr>
                <w:rFonts w:hint="eastAsia"/>
                <w:color w:val="000000"/>
                <w:sz w:val="24"/>
                <w:szCs w:val="24"/>
              </w:rPr>
            </w:pPr>
            <w:r>
              <w:rPr>
                <w:rFonts w:hint="eastAsia"/>
                <w:color w:val="000000"/>
                <w:sz w:val="24"/>
                <w:szCs w:val="24"/>
              </w:rPr>
              <w:t>茶几</w:t>
            </w:r>
          </w:p>
        </w:tc>
        <w:tc>
          <w:tcPr>
            <w:tcW w:w="5413" w:type="dxa"/>
            <w:noWrap w:val="0"/>
            <w:vAlign w:val="center"/>
          </w:tcPr>
          <w:p>
            <w:pPr>
              <w:widowControl/>
              <w:jc w:val="left"/>
              <w:rPr>
                <w:rFonts w:hint="eastAsia"/>
                <w:color w:val="000000"/>
                <w:sz w:val="24"/>
                <w:szCs w:val="24"/>
              </w:rPr>
            </w:pPr>
            <w:r>
              <w:rPr>
                <w:rFonts w:hint="eastAsia"/>
                <w:color w:val="000000"/>
                <w:sz w:val="24"/>
                <w:szCs w:val="24"/>
              </w:rPr>
              <w:t>材质：实木</w:t>
            </w:r>
            <w:r>
              <w:rPr>
                <w:rFonts w:hint="eastAsia"/>
                <w:color w:val="000000"/>
                <w:sz w:val="24"/>
                <w:szCs w:val="24"/>
                <w:lang w:val="en-US" w:eastAsia="zh-CN"/>
              </w:rPr>
              <w:t>(含水率8%-11%的木材)</w:t>
            </w:r>
            <w:r>
              <w:rPr>
                <w:rFonts w:hint="eastAsia"/>
                <w:color w:val="000000"/>
                <w:sz w:val="24"/>
                <w:szCs w:val="24"/>
              </w:rPr>
              <w:t>，颜色、尺寸按效果图定制</w:t>
            </w:r>
          </w:p>
        </w:tc>
        <w:tc>
          <w:tcPr>
            <w:tcW w:w="640" w:type="dxa"/>
            <w:noWrap w:val="0"/>
            <w:vAlign w:val="center"/>
          </w:tcPr>
          <w:p>
            <w:pPr>
              <w:widowControl/>
              <w:jc w:val="left"/>
              <w:rPr>
                <w:rFonts w:hint="eastAsia"/>
                <w:color w:val="000000"/>
                <w:sz w:val="24"/>
                <w:szCs w:val="24"/>
              </w:rPr>
            </w:pPr>
            <w:r>
              <w:rPr>
                <w:rFonts w:hint="eastAsia"/>
                <w:color w:val="000000"/>
                <w:sz w:val="24"/>
                <w:szCs w:val="24"/>
              </w:rPr>
              <w:t>2</w:t>
            </w:r>
          </w:p>
        </w:tc>
        <w:tc>
          <w:tcPr>
            <w:tcW w:w="656" w:type="dxa"/>
            <w:noWrap w:val="0"/>
            <w:vAlign w:val="center"/>
          </w:tcPr>
          <w:p>
            <w:pPr>
              <w:widowControl/>
              <w:jc w:val="left"/>
              <w:rPr>
                <w:rFonts w:hint="eastAsia"/>
                <w:color w:val="000000"/>
                <w:sz w:val="24"/>
                <w:szCs w:val="24"/>
              </w:rPr>
            </w:pPr>
            <w:r>
              <w:rPr>
                <w:rFonts w:hint="eastAsia"/>
                <w:color w:val="000000"/>
                <w:sz w:val="24"/>
                <w:szCs w:val="24"/>
              </w:rPr>
              <w:t>张</w:t>
            </w:r>
          </w:p>
        </w:tc>
        <w:tc>
          <w:tcPr>
            <w:tcW w:w="1590" w:type="dxa"/>
            <w:noWrap w:val="0"/>
            <w:vAlign w:val="center"/>
          </w:tcPr>
          <w:p>
            <w:pPr>
              <w:widowControl/>
              <w:jc w:val="left"/>
              <w:rPr>
                <w:rFonts w:hint="eastAsia"/>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left"/>
              <w:rPr>
                <w:rFonts w:hint="eastAsia"/>
                <w:color w:val="000000"/>
                <w:sz w:val="24"/>
                <w:szCs w:val="24"/>
              </w:rPr>
            </w:pPr>
            <w:r>
              <w:rPr>
                <w:rFonts w:hint="eastAsia"/>
                <w:color w:val="000000"/>
                <w:sz w:val="24"/>
                <w:szCs w:val="24"/>
              </w:rPr>
              <w:t>35</w:t>
            </w:r>
          </w:p>
        </w:tc>
        <w:tc>
          <w:tcPr>
            <w:tcW w:w="1273" w:type="dxa"/>
            <w:noWrap w:val="0"/>
            <w:vAlign w:val="center"/>
          </w:tcPr>
          <w:p>
            <w:pPr>
              <w:widowControl/>
              <w:jc w:val="left"/>
              <w:rPr>
                <w:rFonts w:hint="eastAsia"/>
                <w:color w:val="000000"/>
                <w:sz w:val="24"/>
                <w:szCs w:val="24"/>
              </w:rPr>
            </w:pPr>
            <w:r>
              <w:rPr>
                <w:rFonts w:hint="eastAsia"/>
                <w:color w:val="000000"/>
                <w:sz w:val="24"/>
                <w:szCs w:val="24"/>
              </w:rPr>
              <w:t>办公桌</w:t>
            </w:r>
          </w:p>
        </w:tc>
        <w:tc>
          <w:tcPr>
            <w:tcW w:w="5413" w:type="dxa"/>
            <w:noWrap w:val="0"/>
            <w:vAlign w:val="center"/>
          </w:tcPr>
          <w:p>
            <w:pPr>
              <w:widowControl/>
              <w:jc w:val="left"/>
              <w:rPr>
                <w:rFonts w:hint="eastAsia"/>
                <w:color w:val="000000"/>
                <w:sz w:val="24"/>
                <w:szCs w:val="24"/>
              </w:rPr>
            </w:pPr>
            <w:r>
              <w:rPr>
                <w:rFonts w:hint="eastAsia"/>
                <w:color w:val="000000"/>
                <w:sz w:val="24"/>
                <w:szCs w:val="24"/>
              </w:rPr>
              <w:t>材质：实木</w:t>
            </w:r>
            <w:r>
              <w:rPr>
                <w:rFonts w:hint="eastAsia"/>
                <w:color w:val="000000"/>
                <w:sz w:val="24"/>
                <w:szCs w:val="24"/>
                <w:lang w:val="en-US" w:eastAsia="zh-CN"/>
              </w:rPr>
              <w:t>(含水率8%-11%的木材)</w:t>
            </w:r>
            <w:r>
              <w:rPr>
                <w:rFonts w:hint="eastAsia"/>
                <w:color w:val="000000"/>
                <w:sz w:val="24"/>
                <w:szCs w:val="24"/>
              </w:rPr>
              <w:t>，颜色、尺寸按效果图定制</w:t>
            </w:r>
          </w:p>
        </w:tc>
        <w:tc>
          <w:tcPr>
            <w:tcW w:w="640" w:type="dxa"/>
            <w:noWrap w:val="0"/>
            <w:vAlign w:val="center"/>
          </w:tcPr>
          <w:p>
            <w:pPr>
              <w:widowControl/>
              <w:jc w:val="left"/>
              <w:rPr>
                <w:rFonts w:hint="eastAsia"/>
                <w:color w:val="000000"/>
                <w:sz w:val="24"/>
                <w:szCs w:val="24"/>
              </w:rPr>
            </w:pPr>
            <w:r>
              <w:rPr>
                <w:rFonts w:hint="eastAsia"/>
                <w:color w:val="000000"/>
                <w:sz w:val="24"/>
                <w:szCs w:val="24"/>
              </w:rPr>
              <w:t>2</w:t>
            </w:r>
          </w:p>
        </w:tc>
        <w:tc>
          <w:tcPr>
            <w:tcW w:w="656" w:type="dxa"/>
            <w:noWrap w:val="0"/>
            <w:vAlign w:val="center"/>
          </w:tcPr>
          <w:p>
            <w:pPr>
              <w:widowControl/>
              <w:jc w:val="left"/>
              <w:rPr>
                <w:rFonts w:hint="eastAsia"/>
                <w:color w:val="000000"/>
                <w:sz w:val="24"/>
                <w:szCs w:val="24"/>
              </w:rPr>
            </w:pPr>
            <w:r>
              <w:rPr>
                <w:rFonts w:hint="eastAsia"/>
                <w:color w:val="000000"/>
                <w:sz w:val="24"/>
                <w:szCs w:val="24"/>
              </w:rPr>
              <w:t>张</w:t>
            </w:r>
          </w:p>
        </w:tc>
        <w:tc>
          <w:tcPr>
            <w:tcW w:w="1590" w:type="dxa"/>
            <w:noWrap w:val="0"/>
            <w:vAlign w:val="center"/>
          </w:tcPr>
          <w:p>
            <w:pPr>
              <w:widowControl/>
              <w:jc w:val="left"/>
              <w:rPr>
                <w:rFonts w:hint="eastAsia"/>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left"/>
              <w:rPr>
                <w:rFonts w:hint="eastAsia"/>
                <w:color w:val="000000"/>
                <w:sz w:val="24"/>
                <w:szCs w:val="24"/>
              </w:rPr>
            </w:pPr>
            <w:r>
              <w:rPr>
                <w:rFonts w:hint="eastAsia"/>
                <w:color w:val="000000"/>
                <w:sz w:val="24"/>
                <w:szCs w:val="24"/>
              </w:rPr>
              <w:t>36</w:t>
            </w:r>
          </w:p>
        </w:tc>
        <w:tc>
          <w:tcPr>
            <w:tcW w:w="1273" w:type="dxa"/>
            <w:noWrap w:val="0"/>
            <w:vAlign w:val="center"/>
          </w:tcPr>
          <w:p>
            <w:pPr>
              <w:widowControl/>
              <w:jc w:val="left"/>
              <w:rPr>
                <w:rFonts w:hint="eastAsia"/>
                <w:color w:val="000000"/>
                <w:sz w:val="24"/>
                <w:szCs w:val="24"/>
              </w:rPr>
            </w:pPr>
            <w:r>
              <w:rPr>
                <w:rFonts w:hint="eastAsia"/>
                <w:color w:val="000000"/>
                <w:sz w:val="24"/>
                <w:szCs w:val="24"/>
              </w:rPr>
              <w:t>储物柜</w:t>
            </w:r>
          </w:p>
        </w:tc>
        <w:tc>
          <w:tcPr>
            <w:tcW w:w="5413" w:type="dxa"/>
            <w:noWrap w:val="0"/>
            <w:vAlign w:val="center"/>
          </w:tcPr>
          <w:p>
            <w:pPr>
              <w:widowControl/>
              <w:jc w:val="left"/>
              <w:rPr>
                <w:rFonts w:hint="eastAsia"/>
                <w:color w:val="000000"/>
                <w:sz w:val="24"/>
                <w:szCs w:val="24"/>
              </w:rPr>
            </w:pPr>
            <w:r>
              <w:rPr>
                <w:rFonts w:hint="eastAsia"/>
                <w:color w:val="000000"/>
                <w:sz w:val="24"/>
                <w:szCs w:val="24"/>
              </w:rPr>
              <w:t>材质：钢制，颜色、尺寸按效果图定制</w:t>
            </w:r>
          </w:p>
        </w:tc>
        <w:tc>
          <w:tcPr>
            <w:tcW w:w="640" w:type="dxa"/>
            <w:noWrap w:val="0"/>
            <w:vAlign w:val="center"/>
          </w:tcPr>
          <w:p>
            <w:pPr>
              <w:widowControl/>
              <w:jc w:val="left"/>
              <w:rPr>
                <w:rFonts w:hint="eastAsia"/>
                <w:color w:val="000000"/>
                <w:sz w:val="24"/>
                <w:szCs w:val="24"/>
              </w:rPr>
            </w:pPr>
            <w:r>
              <w:rPr>
                <w:rFonts w:hint="eastAsia"/>
                <w:color w:val="000000"/>
                <w:sz w:val="24"/>
                <w:szCs w:val="24"/>
              </w:rPr>
              <w:t>4</w:t>
            </w:r>
          </w:p>
        </w:tc>
        <w:tc>
          <w:tcPr>
            <w:tcW w:w="656" w:type="dxa"/>
            <w:noWrap w:val="0"/>
            <w:vAlign w:val="center"/>
          </w:tcPr>
          <w:p>
            <w:pPr>
              <w:widowControl/>
              <w:jc w:val="left"/>
              <w:rPr>
                <w:rFonts w:hint="eastAsia"/>
                <w:color w:val="000000"/>
                <w:sz w:val="24"/>
                <w:szCs w:val="24"/>
              </w:rPr>
            </w:pPr>
            <w:r>
              <w:rPr>
                <w:rFonts w:hint="eastAsia"/>
                <w:color w:val="000000"/>
                <w:sz w:val="24"/>
                <w:szCs w:val="24"/>
              </w:rPr>
              <w:t>个</w:t>
            </w:r>
          </w:p>
        </w:tc>
        <w:tc>
          <w:tcPr>
            <w:tcW w:w="1590" w:type="dxa"/>
            <w:noWrap w:val="0"/>
            <w:vAlign w:val="center"/>
          </w:tcPr>
          <w:p>
            <w:pPr>
              <w:widowControl/>
              <w:jc w:val="left"/>
              <w:rPr>
                <w:rFonts w:hint="eastAsia"/>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left"/>
              <w:rPr>
                <w:rFonts w:hint="eastAsia"/>
                <w:color w:val="000000"/>
                <w:sz w:val="24"/>
                <w:szCs w:val="24"/>
              </w:rPr>
            </w:pPr>
            <w:r>
              <w:rPr>
                <w:rFonts w:hint="eastAsia"/>
                <w:color w:val="000000"/>
                <w:sz w:val="24"/>
                <w:szCs w:val="24"/>
              </w:rPr>
              <w:t>37</w:t>
            </w:r>
          </w:p>
        </w:tc>
        <w:tc>
          <w:tcPr>
            <w:tcW w:w="1273" w:type="dxa"/>
            <w:noWrap w:val="0"/>
            <w:vAlign w:val="center"/>
          </w:tcPr>
          <w:p>
            <w:pPr>
              <w:widowControl/>
              <w:jc w:val="left"/>
              <w:rPr>
                <w:rFonts w:hint="eastAsia"/>
                <w:color w:val="000000"/>
                <w:sz w:val="24"/>
                <w:szCs w:val="24"/>
              </w:rPr>
            </w:pPr>
            <w:r>
              <w:rPr>
                <w:rFonts w:hint="eastAsia"/>
                <w:color w:val="000000"/>
                <w:sz w:val="24"/>
                <w:szCs w:val="24"/>
              </w:rPr>
              <w:t>椅子</w:t>
            </w:r>
          </w:p>
        </w:tc>
        <w:tc>
          <w:tcPr>
            <w:tcW w:w="5413" w:type="dxa"/>
            <w:noWrap w:val="0"/>
            <w:vAlign w:val="center"/>
          </w:tcPr>
          <w:p>
            <w:pPr>
              <w:widowControl/>
              <w:jc w:val="left"/>
              <w:rPr>
                <w:rFonts w:hint="eastAsia"/>
                <w:color w:val="000000"/>
                <w:sz w:val="24"/>
                <w:szCs w:val="24"/>
              </w:rPr>
            </w:pPr>
            <w:r>
              <w:rPr>
                <w:rFonts w:hint="eastAsia"/>
                <w:color w:val="000000"/>
                <w:sz w:val="24"/>
                <w:szCs w:val="24"/>
              </w:rPr>
              <w:t>材质：木质</w:t>
            </w:r>
            <w:r>
              <w:rPr>
                <w:rFonts w:hint="eastAsia"/>
                <w:color w:val="000000"/>
                <w:sz w:val="24"/>
                <w:szCs w:val="24"/>
                <w:lang w:val="en-US" w:eastAsia="zh-CN"/>
              </w:rPr>
              <w:t>(含水率8%-11%的木材)</w:t>
            </w:r>
            <w:r>
              <w:rPr>
                <w:rFonts w:hint="eastAsia"/>
                <w:color w:val="000000"/>
                <w:sz w:val="24"/>
                <w:szCs w:val="24"/>
              </w:rPr>
              <w:t>，颜色、尺寸按效果图定制</w:t>
            </w:r>
          </w:p>
        </w:tc>
        <w:tc>
          <w:tcPr>
            <w:tcW w:w="640" w:type="dxa"/>
            <w:noWrap w:val="0"/>
            <w:vAlign w:val="center"/>
          </w:tcPr>
          <w:p>
            <w:pPr>
              <w:widowControl/>
              <w:jc w:val="left"/>
              <w:rPr>
                <w:rFonts w:hint="eastAsia"/>
                <w:color w:val="000000"/>
                <w:sz w:val="24"/>
                <w:szCs w:val="24"/>
              </w:rPr>
            </w:pPr>
            <w:r>
              <w:rPr>
                <w:rFonts w:hint="eastAsia"/>
                <w:color w:val="000000"/>
                <w:sz w:val="24"/>
                <w:szCs w:val="24"/>
              </w:rPr>
              <w:t>24</w:t>
            </w:r>
          </w:p>
        </w:tc>
        <w:tc>
          <w:tcPr>
            <w:tcW w:w="656" w:type="dxa"/>
            <w:noWrap w:val="0"/>
            <w:vAlign w:val="center"/>
          </w:tcPr>
          <w:p>
            <w:pPr>
              <w:widowControl/>
              <w:jc w:val="left"/>
              <w:rPr>
                <w:rFonts w:hint="eastAsia"/>
                <w:color w:val="000000"/>
                <w:sz w:val="24"/>
                <w:szCs w:val="24"/>
              </w:rPr>
            </w:pPr>
            <w:r>
              <w:rPr>
                <w:rFonts w:hint="eastAsia"/>
                <w:color w:val="000000"/>
                <w:sz w:val="24"/>
                <w:szCs w:val="24"/>
              </w:rPr>
              <w:t>张</w:t>
            </w:r>
          </w:p>
        </w:tc>
        <w:tc>
          <w:tcPr>
            <w:tcW w:w="1590" w:type="dxa"/>
            <w:noWrap w:val="0"/>
            <w:vAlign w:val="center"/>
          </w:tcPr>
          <w:p>
            <w:pPr>
              <w:widowControl/>
              <w:jc w:val="left"/>
              <w:rPr>
                <w:rFonts w:hint="eastAsia"/>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372" w:type="dxa"/>
            <w:gridSpan w:val="5"/>
            <w:noWrap w:val="0"/>
            <w:vAlign w:val="center"/>
          </w:tcPr>
          <w:p>
            <w:pPr>
              <w:widowControl/>
              <w:jc w:val="left"/>
              <w:rPr>
                <w:rFonts w:hint="eastAsia"/>
                <w:color w:val="000000"/>
                <w:sz w:val="24"/>
                <w:szCs w:val="24"/>
              </w:rPr>
            </w:pPr>
            <w:r>
              <w:rPr>
                <w:rFonts w:hint="eastAsia"/>
                <w:color w:val="000000"/>
                <w:sz w:val="24"/>
                <w:szCs w:val="24"/>
              </w:rPr>
              <w:t>（六）退役军人事务应急指挥系统设备</w:t>
            </w:r>
          </w:p>
        </w:tc>
        <w:tc>
          <w:tcPr>
            <w:tcW w:w="1590" w:type="dxa"/>
            <w:noWrap w:val="0"/>
            <w:vAlign w:val="center"/>
          </w:tcPr>
          <w:p>
            <w:pPr>
              <w:widowControl/>
              <w:jc w:val="left"/>
              <w:rPr>
                <w:rFonts w:hint="eastAsia"/>
                <w:color w:val="000000"/>
                <w:sz w:val="24"/>
                <w:szCs w:val="24"/>
              </w:rPr>
            </w:pPr>
            <w:r>
              <w:rPr>
                <w:rFonts w:hint="eastAsia"/>
                <w:color w:val="00000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076" w:type="dxa"/>
            <w:gridSpan w:val="3"/>
            <w:noWrap w:val="0"/>
            <w:vAlign w:val="center"/>
          </w:tcPr>
          <w:p>
            <w:pPr>
              <w:widowControl/>
              <w:jc w:val="left"/>
              <w:rPr>
                <w:rFonts w:hint="eastAsia"/>
                <w:color w:val="000000"/>
                <w:sz w:val="24"/>
                <w:szCs w:val="24"/>
              </w:rPr>
            </w:pPr>
            <w:r>
              <w:rPr>
                <w:rFonts w:hint="eastAsia"/>
                <w:color w:val="000000"/>
                <w:sz w:val="24"/>
                <w:szCs w:val="24"/>
              </w:rPr>
              <w:t>一）二楼应急指挥分会场扩声系统</w:t>
            </w:r>
          </w:p>
        </w:tc>
        <w:tc>
          <w:tcPr>
            <w:tcW w:w="640" w:type="dxa"/>
            <w:noWrap w:val="0"/>
            <w:vAlign w:val="center"/>
          </w:tcPr>
          <w:p>
            <w:pPr>
              <w:widowControl/>
              <w:jc w:val="left"/>
              <w:rPr>
                <w:rFonts w:hint="eastAsia"/>
                <w:color w:val="000000"/>
                <w:sz w:val="24"/>
                <w:szCs w:val="24"/>
              </w:rPr>
            </w:pPr>
            <w:r>
              <w:rPr>
                <w:rFonts w:hint="eastAsia"/>
                <w:color w:val="000000"/>
                <w:sz w:val="24"/>
                <w:szCs w:val="24"/>
              </w:rPr>
              <w:t>　</w:t>
            </w:r>
          </w:p>
        </w:tc>
        <w:tc>
          <w:tcPr>
            <w:tcW w:w="656" w:type="dxa"/>
            <w:noWrap w:val="0"/>
            <w:vAlign w:val="center"/>
          </w:tcPr>
          <w:p>
            <w:pPr>
              <w:widowControl/>
              <w:jc w:val="left"/>
              <w:rPr>
                <w:rFonts w:hint="eastAsia"/>
                <w:color w:val="000000"/>
                <w:sz w:val="24"/>
                <w:szCs w:val="24"/>
              </w:rPr>
            </w:pPr>
            <w:r>
              <w:rPr>
                <w:rFonts w:hint="eastAsia"/>
                <w:color w:val="000000"/>
                <w:sz w:val="24"/>
                <w:szCs w:val="24"/>
              </w:rPr>
              <w:t>　</w:t>
            </w:r>
          </w:p>
          <w:p>
            <w:pPr>
              <w:widowControl/>
              <w:jc w:val="left"/>
              <w:rPr>
                <w:rFonts w:hint="eastAsia"/>
                <w:color w:val="000000"/>
                <w:sz w:val="24"/>
                <w:szCs w:val="24"/>
              </w:rPr>
            </w:pPr>
            <w:r>
              <w:rPr>
                <w:rFonts w:hint="eastAsia"/>
                <w:color w:val="000000"/>
                <w:sz w:val="24"/>
                <w:szCs w:val="24"/>
              </w:rPr>
              <w:t>　</w:t>
            </w:r>
          </w:p>
          <w:p>
            <w:pPr>
              <w:widowControl/>
              <w:jc w:val="left"/>
              <w:rPr>
                <w:rFonts w:hint="eastAsia"/>
                <w:color w:val="000000"/>
                <w:sz w:val="24"/>
                <w:szCs w:val="24"/>
              </w:rPr>
            </w:pPr>
            <w:r>
              <w:rPr>
                <w:rFonts w:hint="eastAsia"/>
                <w:color w:val="000000"/>
                <w:sz w:val="24"/>
                <w:szCs w:val="24"/>
              </w:rPr>
              <w:t>　</w:t>
            </w:r>
          </w:p>
        </w:tc>
        <w:tc>
          <w:tcPr>
            <w:tcW w:w="1590" w:type="dxa"/>
            <w:noWrap w:val="0"/>
            <w:vAlign w:val="center"/>
          </w:tcPr>
          <w:p>
            <w:pPr>
              <w:widowControl/>
              <w:jc w:val="left"/>
              <w:rPr>
                <w:rFonts w:hint="eastAsia"/>
                <w:color w:val="000000"/>
                <w:sz w:val="24"/>
                <w:szCs w:val="24"/>
              </w:rPr>
            </w:pPr>
            <w:r>
              <w:rPr>
                <w:rFonts w:hint="eastAsia"/>
                <w:color w:val="00000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left"/>
              <w:rPr>
                <w:rFonts w:hint="eastAsia"/>
                <w:color w:val="000000"/>
                <w:sz w:val="24"/>
                <w:szCs w:val="24"/>
              </w:rPr>
            </w:pPr>
            <w:r>
              <w:rPr>
                <w:rFonts w:hint="eastAsia"/>
                <w:color w:val="000000"/>
                <w:sz w:val="24"/>
                <w:szCs w:val="24"/>
              </w:rPr>
              <w:t xml:space="preserve">1 </w:t>
            </w:r>
          </w:p>
        </w:tc>
        <w:tc>
          <w:tcPr>
            <w:tcW w:w="1273" w:type="dxa"/>
            <w:noWrap w:val="0"/>
            <w:vAlign w:val="center"/>
          </w:tcPr>
          <w:p>
            <w:pPr>
              <w:widowControl/>
              <w:jc w:val="left"/>
              <w:rPr>
                <w:rFonts w:hint="eastAsia"/>
                <w:color w:val="000000"/>
                <w:sz w:val="24"/>
                <w:szCs w:val="24"/>
              </w:rPr>
            </w:pPr>
            <w:r>
              <w:rPr>
                <w:rFonts w:hint="eastAsia"/>
                <w:color w:val="000000"/>
                <w:sz w:val="24"/>
                <w:szCs w:val="24"/>
              </w:rPr>
              <w:t>专业功放</w:t>
            </w:r>
          </w:p>
        </w:tc>
        <w:tc>
          <w:tcPr>
            <w:tcW w:w="5413" w:type="dxa"/>
            <w:noWrap w:val="0"/>
            <w:vAlign w:val="center"/>
          </w:tcPr>
          <w:p>
            <w:pPr>
              <w:widowControl/>
              <w:jc w:val="left"/>
              <w:rPr>
                <w:rFonts w:hint="eastAsia"/>
                <w:color w:val="000000"/>
                <w:sz w:val="24"/>
                <w:szCs w:val="24"/>
              </w:rPr>
            </w:pPr>
            <w:r>
              <w:rPr>
                <w:rFonts w:hint="eastAsia"/>
                <w:color w:val="000000"/>
                <w:sz w:val="24"/>
                <w:szCs w:val="24"/>
              </w:rPr>
              <w:t xml:space="preserve">1、智能控制强制散热设计，风机噪音小，散热效率高等特点； </w:t>
            </w:r>
          </w:p>
          <w:p>
            <w:pPr>
              <w:widowControl/>
              <w:jc w:val="left"/>
              <w:rPr>
                <w:rFonts w:hint="eastAsia"/>
                <w:color w:val="000000"/>
                <w:sz w:val="24"/>
                <w:szCs w:val="24"/>
              </w:rPr>
            </w:pPr>
            <w:r>
              <w:rPr>
                <w:rFonts w:hint="eastAsia"/>
                <w:color w:val="000000"/>
                <w:sz w:val="24"/>
                <w:szCs w:val="24"/>
              </w:rPr>
              <w:t>2、两声道功放有三档输入灵敏度选择，轻松接纳宽幅度范围信号源输入；</w:t>
            </w:r>
          </w:p>
          <w:p>
            <w:pPr>
              <w:widowControl/>
              <w:jc w:val="left"/>
              <w:rPr>
                <w:rFonts w:hint="eastAsia"/>
                <w:color w:val="000000"/>
                <w:sz w:val="24"/>
                <w:szCs w:val="24"/>
              </w:rPr>
            </w:pPr>
            <w:r>
              <w:rPr>
                <w:rFonts w:hint="eastAsia"/>
                <w:color w:val="000000"/>
                <w:sz w:val="24"/>
                <w:szCs w:val="24"/>
              </w:rPr>
              <w:t>3、完善可靠的安全保护措施和工作状态指示（短路、过载、直流和过热保护，变压器过热保护），让用户放心使用；</w:t>
            </w:r>
          </w:p>
          <w:p>
            <w:pPr>
              <w:widowControl/>
              <w:jc w:val="left"/>
              <w:rPr>
                <w:rFonts w:hint="eastAsia"/>
                <w:color w:val="000000"/>
                <w:sz w:val="24"/>
                <w:szCs w:val="24"/>
              </w:rPr>
            </w:pPr>
            <w:r>
              <w:rPr>
                <w:rFonts w:hint="eastAsia"/>
                <w:color w:val="000000"/>
                <w:sz w:val="24"/>
                <w:szCs w:val="24"/>
              </w:rPr>
              <w:t xml:space="preserve">4、智能削峰限幅器，控制功率模块及扬声器系统在安全范围内工作； </w:t>
            </w:r>
          </w:p>
          <w:p>
            <w:pPr>
              <w:widowControl/>
              <w:jc w:val="left"/>
              <w:rPr>
                <w:rFonts w:hint="eastAsia"/>
                <w:color w:val="000000"/>
                <w:sz w:val="24"/>
                <w:szCs w:val="24"/>
              </w:rPr>
            </w:pPr>
            <w:r>
              <w:rPr>
                <w:rFonts w:hint="eastAsia"/>
                <w:color w:val="000000"/>
                <w:sz w:val="24"/>
                <w:szCs w:val="24"/>
              </w:rPr>
              <w:t xml:space="preserve">5、输出功率:立体声/并联8Ω:200W*2.立体声/并联4Ω:300W*2.桥接8Ω:600W；  </w:t>
            </w:r>
          </w:p>
          <w:p>
            <w:pPr>
              <w:widowControl/>
              <w:jc w:val="left"/>
              <w:rPr>
                <w:rFonts w:hint="eastAsia"/>
                <w:color w:val="000000"/>
                <w:sz w:val="24"/>
                <w:szCs w:val="24"/>
              </w:rPr>
            </w:pPr>
            <w:r>
              <w:rPr>
                <w:rFonts w:hint="eastAsia"/>
                <w:color w:val="000000"/>
                <w:sz w:val="24"/>
                <w:szCs w:val="24"/>
              </w:rPr>
              <w:t>6、信噪比:≥90dB、频响:20Hz-20KHz(+0dB/-2dB)；</w:t>
            </w:r>
          </w:p>
          <w:p>
            <w:pPr>
              <w:widowControl/>
              <w:jc w:val="left"/>
              <w:rPr>
                <w:rFonts w:hint="eastAsia"/>
                <w:color w:val="000000"/>
                <w:sz w:val="24"/>
                <w:szCs w:val="24"/>
              </w:rPr>
            </w:pPr>
            <w:r>
              <w:rPr>
                <w:rFonts w:hint="eastAsia"/>
                <w:color w:val="000000"/>
                <w:sz w:val="24"/>
                <w:szCs w:val="24"/>
              </w:rPr>
              <w:t>7、分离度:≥80dB、失真度:≤0.05%。</w:t>
            </w:r>
          </w:p>
        </w:tc>
        <w:tc>
          <w:tcPr>
            <w:tcW w:w="640" w:type="dxa"/>
            <w:noWrap w:val="0"/>
            <w:vAlign w:val="center"/>
          </w:tcPr>
          <w:p>
            <w:pPr>
              <w:widowControl/>
              <w:jc w:val="left"/>
              <w:rPr>
                <w:rFonts w:hint="eastAsia"/>
                <w:color w:val="000000"/>
                <w:sz w:val="24"/>
                <w:szCs w:val="24"/>
              </w:rPr>
            </w:pPr>
            <w:r>
              <w:rPr>
                <w:rFonts w:hint="eastAsia"/>
                <w:color w:val="000000"/>
                <w:sz w:val="24"/>
                <w:szCs w:val="24"/>
              </w:rPr>
              <w:t xml:space="preserve">2 </w:t>
            </w:r>
          </w:p>
        </w:tc>
        <w:tc>
          <w:tcPr>
            <w:tcW w:w="656" w:type="dxa"/>
            <w:noWrap w:val="0"/>
            <w:vAlign w:val="center"/>
          </w:tcPr>
          <w:p>
            <w:pPr>
              <w:widowControl/>
              <w:jc w:val="left"/>
              <w:rPr>
                <w:rFonts w:hint="eastAsia"/>
                <w:color w:val="000000"/>
                <w:sz w:val="24"/>
                <w:szCs w:val="24"/>
              </w:rPr>
            </w:pPr>
            <w:r>
              <w:rPr>
                <w:rFonts w:hint="eastAsia"/>
                <w:color w:val="000000"/>
                <w:sz w:val="24"/>
                <w:szCs w:val="24"/>
              </w:rPr>
              <w:t>台</w:t>
            </w:r>
          </w:p>
        </w:tc>
        <w:tc>
          <w:tcPr>
            <w:tcW w:w="1590" w:type="dxa"/>
            <w:noWrap w:val="0"/>
            <w:vAlign w:val="center"/>
          </w:tcPr>
          <w:p>
            <w:pPr>
              <w:widowControl/>
              <w:jc w:val="left"/>
              <w:rPr>
                <w:rFonts w:hint="eastAsia"/>
                <w:color w:val="000000"/>
                <w:sz w:val="24"/>
                <w:szCs w:val="24"/>
              </w:rPr>
            </w:pPr>
            <w:r>
              <w:rPr>
                <w:rFonts w:hint="eastAsia"/>
                <w:color w:val="00000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left"/>
              <w:rPr>
                <w:rFonts w:hint="eastAsia"/>
                <w:color w:val="000000"/>
                <w:sz w:val="24"/>
                <w:szCs w:val="24"/>
              </w:rPr>
            </w:pPr>
            <w:r>
              <w:rPr>
                <w:rFonts w:hint="eastAsia"/>
                <w:color w:val="000000"/>
                <w:sz w:val="24"/>
                <w:szCs w:val="24"/>
              </w:rPr>
              <w:t xml:space="preserve">2 </w:t>
            </w:r>
          </w:p>
        </w:tc>
        <w:tc>
          <w:tcPr>
            <w:tcW w:w="1273" w:type="dxa"/>
            <w:noWrap w:val="0"/>
            <w:vAlign w:val="center"/>
          </w:tcPr>
          <w:p>
            <w:pPr>
              <w:widowControl/>
              <w:jc w:val="left"/>
              <w:rPr>
                <w:rFonts w:hint="eastAsia"/>
                <w:color w:val="000000"/>
                <w:sz w:val="24"/>
                <w:szCs w:val="24"/>
              </w:rPr>
            </w:pPr>
            <w:r>
              <w:rPr>
                <w:rFonts w:hint="eastAsia"/>
                <w:color w:val="000000"/>
                <w:sz w:val="24"/>
                <w:szCs w:val="24"/>
              </w:rPr>
              <w:t>专业音箱</w:t>
            </w:r>
          </w:p>
        </w:tc>
        <w:tc>
          <w:tcPr>
            <w:tcW w:w="5413" w:type="dxa"/>
            <w:noWrap w:val="0"/>
            <w:vAlign w:val="center"/>
          </w:tcPr>
          <w:p>
            <w:pPr>
              <w:widowControl/>
              <w:jc w:val="left"/>
              <w:rPr>
                <w:rFonts w:hint="eastAsia"/>
                <w:color w:val="000000"/>
                <w:sz w:val="24"/>
                <w:szCs w:val="24"/>
              </w:rPr>
            </w:pPr>
            <w:r>
              <w:rPr>
                <w:rFonts w:hint="eastAsia"/>
                <w:color w:val="000000"/>
                <w:sz w:val="24"/>
                <w:szCs w:val="24"/>
              </w:rPr>
              <w:t>1、阻抗：8Ω±10%，频响：65Hz~20KHz；</w:t>
            </w:r>
            <w:r>
              <w:rPr>
                <w:rFonts w:hint="eastAsia"/>
                <w:color w:val="000000"/>
                <w:sz w:val="24"/>
                <w:szCs w:val="24"/>
              </w:rPr>
              <w:br w:type="textWrapping"/>
            </w:r>
            <w:r>
              <w:rPr>
                <w:rFonts w:hint="eastAsia"/>
                <w:color w:val="000000"/>
                <w:sz w:val="24"/>
                <w:szCs w:val="24"/>
              </w:rPr>
              <w:t>2、额定功率：150W±10%，灵敏度：≥95dB/W/M，覆盖角度：≥(H)80°(V)60°；</w:t>
            </w:r>
            <w:r>
              <w:rPr>
                <w:rFonts w:hint="eastAsia"/>
                <w:color w:val="000000"/>
                <w:sz w:val="24"/>
                <w:szCs w:val="24"/>
              </w:rPr>
              <w:br w:type="textWrapping"/>
            </w:r>
            <w:r>
              <w:rPr>
                <w:rFonts w:hint="eastAsia"/>
                <w:color w:val="000000"/>
                <w:sz w:val="24"/>
                <w:szCs w:val="24"/>
              </w:rPr>
              <w:t>3、高音：3"锥形高音单元≥2个，低音：8"低音≥1个；</w:t>
            </w:r>
          </w:p>
        </w:tc>
        <w:tc>
          <w:tcPr>
            <w:tcW w:w="640" w:type="dxa"/>
            <w:noWrap w:val="0"/>
            <w:vAlign w:val="center"/>
          </w:tcPr>
          <w:p>
            <w:pPr>
              <w:widowControl/>
              <w:jc w:val="left"/>
              <w:rPr>
                <w:rFonts w:hint="eastAsia"/>
                <w:color w:val="000000"/>
                <w:sz w:val="24"/>
                <w:szCs w:val="24"/>
              </w:rPr>
            </w:pPr>
            <w:r>
              <w:rPr>
                <w:rFonts w:hint="eastAsia"/>
                <w:color w:val="000000"/>
                <w:sz w:val="24"/>
                <w:szCs w:val="24"/>
              </w:rPr>
              <w:t xml:space="preserve">4 </w:t>
            </w:r>
          </w:p>
        </w:tc>
        <w:tc>
          <w:tcPr>
            <w:tcW w:w="656" w:type="dxa"/>
            <w:noWrap w:val="0"/>
            <w:vAlign w:val="center"/>
          </w:tcPr>
          <w:p>
            <w:pPr>
              <w:widowControl/>
              <w:jc w:val="left"/>
              <w:rPr>
                <w:rFonts w:hint="eastAsia"/>
                <w:color w:val="000000"/>
                <w:sz w:val="24"/>
                <w:szCs w:val="24"/>
              </w:rPr>
            </w:pPr>
            <w:r>
              <w:rPr>
                <w:rFonts w:hint="eastAsia"/>
                <w:color w:val="000000"/>
                <w:sz w:val="24"/>
                <w:szCs w:val="24"/>
              </w:rPr>
              <w:t>只</w:t>
            </w:r>
          </w:p>
        </w:tc>
        <w:tc>
          <w:tcPr>
            <w:tcW w:w="1590" w:type="dxa"/>
            <w:noWrap w:val="0"/>
            <w:vAlign w:val="bottom"/>
          </w:tcPr>
          <w:p>
            <w:pPr>
              <w:widowControl/>
              <w:jc w:val="left"/>
              <w:rPr>
                <w:rFonts w:hint="eastAsia"/>
                <w:color w:val="000000"/>
                <w:sz w:val="24"/>
                <w:szCs w:val="24"/>
              </w:rPr>
            </w:pPr>
            <w:r>
              <w:rPr>
                <w:rFonts w:hint="eastAsia"/>
                <w:color w:val="00000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noWrap w:val="0"/>
            <w:vAlign w:val="center"/>
          </w:tcPr>
          <w:p>
            <w:pPr>
              <w:widowControl/>
              <w:jc w:val="left"/>
              <w:rPr>
                <w:rFonts w:hint="eastAsia"/>
                <w:color w:val="000000"/>
                <w:sz w:val="24"/>
                <w:szCs w:val="24"/>
              </w:rPr>
            </w:pPr>
            <w:r>
              <w:rPr>
                <w:rFonts w:hint="eastAsia"/>
                <w:color w:val="000000"/>
                <w:sz w:val="24"/>
                <w:szCs w:val="24"/>
              </w:rPr>
              <w:t xml:space="preserve">3 </w:t>
            </w:r>
          </w:p>
        </w:tc>
        <w:tc>
          <w:tcPr>
            <w:tcW w:w="1273" w:type="dxa"/>
            <w:noWrap w:val="0"/>
            <w:vAlign w:val="center"/>
          </w:tcPr>
          <w:p>
            <w:pPr>
              <w:widowControl/>
              <w:jc w:val="left"/>
              <w:rPr>
                <w:rFonts w:hint="eastAsia"/>
                <w:color w:val="000000"/>
                <w:sz w:val="24"/>
                <w:szCs w:val="24"/>
              </w:rPr>
            </w:pPr>
            <w:r>
              <w:rPr>
                <w:rFonts w:hint="eastAsia"/>
                <w:color w:val="000000"/>
                <w:sz w:val="24"/>
                <w:szCs w:val="24"/>
              </w:rPr>
              <w:t>支架</w:t>
            </w:r>
          </w:p>
        </w:tc>
        <w:tc>
          <w:tcPr>
            <w:tcW w:w="5413" w:type="dxa"/>
            <w:noWrap w:val="0"/>
            <w:vAlign w:val="center"/>
          </w:tcPr>
          <w:p>
            <w:pPr>
              <w:widowControl/>
              <w:jc w:val="left"/>
              <w:rPr>
                <w:rFonts w:hint="eastAsia"/>
                <w:color w:val="000000"/>
                <w:sz w:val="24"/>
                <w:szCs w:val="24"/>
              </w:rPr>
            </w:pPr>
            <w:r>
              <w:rPr>
                <w:rFonts w:hint="eastAsia"/>
                <w:color w:val="000000"/>
                <w:sz w:val="24"/>
                <w:szCs w:val="24"/>
              </w:rPr>
              <w:t>定制</w:t>
            </w:r>
          </w:p>
        </w:tc>
        <w:tc>
          <w:tcPr>
            <w:tcW w:w="640" w:type="dxa"/>
            <w:noWrap w:val="0"/>
            <w:vAlign w:val="center"/>
          </w:tcPr>
          <w:p>
            <w:pPr>
              <w:widowControl/>
              <w:jc w:val="left"/>
              <w:rPr>
                <w:rFonts w:hint="eastAsia"/>
                <w:color w:val="000000"/>
                <w:sz w:val="24"/>
                <w:szCs w:val="24"/>
              </w:rPr>
            </w:pPr>
            <w:r>
              <w:rPr>
                <w:rFonts w:hint="eastAsia"/>
                <w:color w:val="000000"/>
                <w:sz w:val="24"/>
                <w:szCs w:val="24"/>
              </w:rPr>
              <w:t xml:space="preserve">4 </w:t>
            </w:r>
          </w:p>
        </w:tc>
        <w:tc>
          <w:tcPr>
            <w:tcW w:w="656" w:type="dxa"/>
            <w:noWrap w:val="0"/>
            <w:vAlign w:val="center"/>
          </w:tcPr>
          <w:p>
            <w:pPr>
              <w:widowControl/>
              <w:jc w:val="left"/>
              <w:rPr>
                <w:rFonts w:hint="eastAsia"/>
                <w:color w:val="000000"/>
                <w:sz w:val="24"/>
                <w:szCs w:val="24"/>
              </w:rPr>
            </w:pPr>
            <w:r>
              <w:rPr>
                <w:rFonts w:hint="eastAsia"/>
                <w:color w:val="000000"/>
                <w:sz w:val="24"/>
                <w:szCs w:val="24"/>
              </w:rPr>
              <w:t>只</w:t>
            </w:r>
          </w:p>
        </w:tc>
        <w:tc>
          <w:tcPr>
            <w:tcW w:w="1590" w:type="dxa"/>
            <w:noWrap w:val="0"/>
            <w:vAlign w:val="center"/>
          </w:tcPr>
          <w:p>
            <w:pPr>
              <w:widowControl/>
              <w:jc w:val="left"/>
              <w:rPr>
                <w:rFonts w:hint="eastAsia"/>
                <w:color w:val="000000"/>
                <w:sz w:val="24"/>
                <w:szCs w:val="24"/>
              </w:rPr>
            </w:pPr>
            <w:r>
              <w:rPr>
                <w:rFonts w:hint="eastAsia"/>
                <w:color w:val="00000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4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调音台</w:t>
            </w:r>
          </w:p>
        </w:tc>
        <w:tc>
          <w:tcPr>
            <w:tcW w:w="5413" w:type="dxa"/>
            <w:noWrap w:val="0"/>
            <w:vAlign w:val="center"/>
          </w:tcPr>
          <w:p>
            <w:pPr>
              <w:widowControl/>
              <w:jc w:val="left"/>
              <w:rPr>
                <w:rFonts w:hint="eastAsia" w:ascii="宋体" w:cs="宋体"/>
                <w:color w:val="000000"/>
                <w:kern w:val="0"/>
                <w:sz w:val="24"/>
                <w:szCs w:val="24"/>
                <w:lang w:bidi="ar-SA"/>
              </w:rPr>
            </w:pPr>
            <w:r>
              <w:rPr>
                <w:rFonts w:hint="eastAsia"/>
                <w:color w:val="000000"/>
                <w:sz w:val="24"/>
                <w:szCs w:val="24"/>
              </w:rPr>
              <w:t>1、支持≥8路麦克风输入兼容6路线路输入接口，支持≥2路立体声输入接口，≥4路RCA输入，话筒接口幻象电源：+48V；</w:t>
            </w:r>
            <w:r>
              <w:rPr>
                <w:rFonts w:hint="eastAsia"/>
                <w:color w:val="000000"/>
                <w:sz w:val="24"/>
                <w:szCs w:val="24"/>
              </w:rPr>
              <w:br w:type="textWrapping"/>
            </w:r>
            <w:r>
              <w:rPr>
                <w:rFonts w:hint="eastAsia"/>
                <w:color w:val="000000"/>
                <w:sz w:val="24"/>
                <w:szCs w:val="24"/>
              </w:rPr>
              <w:t>2、具有≥2组立体主输出、≥4路编组输出、≥4路辅助输出、≥1组立体声监听输出、≥1个耳机监听输出、≥2个效果输出、≥1组主混音断点插入、≥6个断点插入；</w:t>
            </w:r>
            <w:r>
              <w:rPr>
                <w:rFonts w:hint="eastAsia"/>
                <w:color w:val="000000"/>
                <w:sz w:val="24"/>
                <w:szCs w:val="24"/>
              </w:rPr>
              <w:br w:type="textWrapping"/>
            </w:r>
            <w:r>
              <w:rPr>
                <w:rFonts w:hint="eastAsia"/>
                <w:color w:val="000000"/>
                <w:sz w:val="24"/>
                <w:szCs w:val="24"/>
              </w:rPr>
              <w:t>3、内置24位DSP效果器，提供100种预设效果；</w:t>
            </w:r>
            <w:r>
              <w:rPr>
                <w:rFonts w:hint="eastAsia"/>
                <w:color w:val="000000"/>
                <w:sz w:val="24"/>
                <w:szCs w:val="24"/>
              </w:rPr>
              <w:br w:type="textWrapping"/>
            </w:r>
            <w:r>
              <w:rPr>
                <w:rFonts w:hint="eastAsia"/>
                <w:color w:val="000000"/>
                <w:sz w:val="24"/>
                <w:szCs w:val="24"/>
              </w:rPr>
              <w:t>4、具备13个60mm行程的高精密碳膜推子；</w:t>
            </w:r>
            <w:r>
              <w:rPr>
                <w:rFonts w:hint="eastAsia"/>
                <w:color w:val="000000"/>
                <w:sz w:val="24"/>
                <w:szCs w:val="24"/>
              </w:rPr>
              <w:br w:type="textWrapping"/>
            </w:r>
            <w:r>
              <w:rPr>
                <w:rFonts w:hint="eastAsia"/>
                <w:color w:val="000000"/>
                <w:sz w:val="24"/>
                <w:szCs w:val="24"/>
              </w:rPr>
              <w:t>5、内置USB声卡模块，支持连接电脑进行音乐播放和声音录音；内置MP3播放器，支持1个USB接口接U盘播放音乐；</w:t>
            </w:r>
            <w:r>
              <w:rPr>
                <w:rFonts w:hint="eastAsia"/>
                <w:color w:val="000000"/>
                <w:sz w:val="24"/>
                <w:szCs w:val="24"/>
              </w:rPr>
              <w:br w:type="textWrapping"/>
            </w:r>
            <w:r>
              <w:rPr>
                <w:rFonts w:hint="eastAsia"/>
                <w:color w:val="000000"/>
                <w:sz w:val="24"/>
                <w:szCs w:val="24"/>
              </w:rPr>
              <w:t>6、频率响应：20Hz-20kHz，±2dB；失真度：&lt;0.03% at+0dB,22Hz-22KHz A-weighted；灵敏度；+21dB~-30dB；信噪比：&lt;-100dBr A-weighted。</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台</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5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音频处理器</w:t>
            </w:r>
          </w:p>
        </w:tc>
        <w:tc>
          <w:tcPr>
            <w:tcW w:w="5413" w:type="dxa"/>
            <w:noWrap w:val="0"/>
            <w:vAlign w:val="center"/>
          </w:tcPr>
          <w:p>
            <w:pPr>
              <w:widowControl/>
              <w:rPr>
                <w:color w:val="000000"/>
                <w:sz w:val="24"/>
                <w:szCs w:val="24"/>
              </w:rPr>
            </w:pPr>
            <w:r>
              <w:rPr>
                <w:rFonts w:hint="eastAsia"/>
                <w:color w:val="000000"/>
                <w:sz w:val="24"/>
                <w:szCs w:val="24"/>
              </w:rPr>
              <w:t>1、支持≥4路平衡式话筒/线路输入通道，采用裸线接口端子，平衡接法；支持≥4路平衡式线路输出，采用裸线接口端子，平衡接法；</w:t>
            </w:r>
          </w:p>
          <w:p>
            <w:pPr>
              <w:widowControl/>
              <w:rPr>
                <w:color w:val="000000"/>
                <w:sz w:val="24"/>
                <w:szCs w:val="24"/>
              </w:rPr>
            </w:pPr>
            <w:r>
              <w:rPr>
                <w:rFonts w:hint="eastAsia"/>
                <w:color w:val="000000"/>
                <w:sz w:val="24"/>
                <w:szCs w:val="24"/>
              </w:rPr>
              <w:t>2、输入通道支持前级放大、信号发生器、扩展器、压缩器、5段参量均衡、AM自动混音功能、AFC自适应反馈消除、AEC回声消除、ANC噪声消除。输出通道支持31段参量均衡器、延时器、分频器、高低通滤波器、限幅器；</w:t>
            </w:r>
          </w:p>
          <w:p>
            <w:pPr>
              <w:widowControl/>
              <w:rPr>
                <w:color w:val="000000"/>
                <w:sz w:val="24"/>
                <w:szCs w:val="24"/>
              </w:rPr>
            </w:pPr>
            <w:r>
              <w:rPr>
                <w:color w:val="000000"/>
                <w:sz w:val="24"/>
                <w:szCs w:val="24"/>
              </w:rPr>
              <w:t>3</w:t>
            </w:r>
            <w:r>
              <w:rPr>
                <w:rFonts w:hint="eastAsia"/>
                <w:color w:val="000000"/>
                <w:sz w:val="24"/>
                <w:szCs w:val="24"/>
              </w:rPr>
              <w:t>、支持24bit/48KHz卓越的高品质声音；</w:t>
            </w:r>
          </w:p>
          <w:p>
            <w:pPr>
              <w:widowControl/>
              <w:rPr>
                <w:color w:val="000000"/>
                <w:sz w:val="24"/>
                <w:szCs w:val="24"/>
              </w:rPr>
            </w:pPr>
            <w:r>
              <w:rPr>
                <w:color w:val="000000"/>
                <w:sz w:val="24"/>
                <w:szCs w:val="24"/>
              </w:rPr>
              <w:t>4</w:t>
            </w:r>
            <w:r>
              <w:rPr>
                <w:rFonts w:hint="eastAsia"/>
                <w:color w:val="000000"/>
                <w:sz w:val="24"/>
                <w:szCs w:val="24"/>
              </w:rPr>
              <w:t>、面板具备USB接口，支持多媒体存储，可进行播放或存储录播，配置双向RS-232接口，可用于控制外部设备；配置RS-485接口，可实现自动摄像跟踪功能，配置8通道可编程GPIO控制接口（可自定义输入输出）；</w:t>
            </w:r>
          </w:p>
          <w:p>
            <w:pPr>
              <w:widowControl/>
              <w:rPr>
                <w:color w:val="000000"/>
                <w:sz w:val="24"/>
                <w:szCs w:val="24"/>
              </w:rPr>
            </w:pPr>
            <w:r>
              <w:rPr>
                <w:color w:val="000000"/>
                <w:sz w:val="24"/>
                <w:szCs w:val="24"/>
              </w:rPr>
              <w:t>5</w:t>
            </w:r>
            <w:r>
              <w:rPr>
                <w:rFonts w:hint="eastAsia"/>
                <w:color w:val="000000"/>
                <w:sz w:val="24"/>
                <w:szCs w:val="24"/>
              </w:rPr>
              <w:t>、支持断电自动保护记忆功能，支持iOS、iPad、Android的手机/平板APP进行操作控制；</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台</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6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无线话筒</w:t>
            </w:r>
          </w:p>
        </w:tc>
        <w:tc>
          <w:tcPr>
            <w:tcW w:w="5413" w:type="dxa"/>
            <w:noWrap w:val="0"/>
            <w:vAlign w:val="center"/>
          </w:tcPr>
          <w:p>
            <w:pPr>
              <w:widowControl/>
              <w:jc w:val="left"/>
              <w:rPr>
                <w:color w:val="000000"/>
                <w:sz w:val="24"/>
                <w:szCs w:val="24"/>
              </w:rPr>
            </w:pPr>
            <w:r>
              <w:rPr>
                <w:rFonts w:hint="eastAsia"/>
                <w:color w:val="000000"/>
                <w:sz w:val="24"/>
                <w:szCs w:val="24"/>
              </w:rPr>
              <w:t>1、采用UHF超高频段双真分集接收，并采用PLL锁相环多信道频率合成技术；V/A显示屏在任何角度观察字体清晰同时显示信道号与工作频率。红外对频功能，能方便、快捷的使发射机与接收机频率同步，超强的抗干扰能力，能有效抑制由外部带来的噪音干扰及同频干扰；</w:t>
            </w:r>
          </w:p>
          <w:p>
            <w:pPr>
              <w:widowControl/>
              <w:jc w:val="left"/>
              <w:rPr>
                <w:color w:val="000000"/>
                <w:sz w:val="24"/>
                <w:szCs w:val="24"/>
              </w:rPr>
            </w:pPr>
            <w:r>
              <w:rPr>
                <w:rFonts w:hint="eastAsia"/>
                <w:color w:val="000000"/>
                <w:sz w:val="24"/>
                <w:szCs w:val="24"/>
              </w:rPr>
              <w:t>2、带8级射频电平显示，8级音频电平显示，频道菜单显示，静音显示；具有SCAN 自动扫频功能，使用前按SET功能键自动找一个环境最干净的频点处停下来，此频率作为接收机的使用频率；</w:t>
            </w:r>
          </w:p>
          <w:p>
            <w:pPr>
              <w:widowControl/>
              <w:jc w:val="left"/>
              <w:rPr>
                <w:color w:val="000000"/>
                <w:sz w:val="24"/>
                <w:szCs w:val="24"/>
              </w:rPr>
            </w:pPr>
            <w:r>
              <w:rPr>
                <w:rFonts w:hint="eastAsia"/>
                <w:color w:val="000000"/>
                <w:sz w:val="24"/>
                <w:szCs w:val="24"/>
              </w:rPr>
              <w:t>3、平衡和非平衡两种选择输出端口，适应不同的设备连接需求；</w:t>
            </w:r>
          </w:p>
          <w:p>
            <w:pPr>
              <w:widowControl/>
              <w:jc w:val="left"/>
              <w:rPr>
                <w:rFonts w:hint="eastAsia" w:ascii="宋体" w:cs="宋体"/>
                <w:color w:val="000000"/>
                <w:kern w:val="0"/>
                <w:sz w:val="24"/>
                <w:szCs w:val="24"/>
                <w:lang w:bidi="ar-SA"/>
              </w:rPr>
            </w:pPr>
            <w:r>
              <w:rPr>
                <w:rFonts w:hint="eastAsia"/>
                <w:color w:val="000000"/>
                <w:sz w:val="24"/>
                <w:szCs w:val="24"/>
              </w:rPr>
              <w:t>4、频率指标:470-830MHz，调制方式:宽带FM，提供各200个可调频率，共500个信道选择，真正分集式接收,有效避免断频现象和延长接收距离。工作距离约100m；中频丰富，声音且有磁性感和混厚感，属人声话筒音持的精华。</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套</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7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话筒呼叫控制嵌入软件</w:t>
            </w:r>
          </w:p>
        </w:tc>
        <w:tc>
          <w:tcPr>
            <w:tcW w:w="5413" w:type="dxa"/>
            <w:noWrap w:val="0"/>
            <w:vAlign w:val="center"/>
          </w:tcPr>
          <w:p>
            <w:pPr>
              <w:widowControl/>
              <w:rPr>
                <w:rFonts w:hint="eastAsia" w:ascii="宋体" w:cs="宋体"/>
                <w:color w:val="000000"/>
                <w:kern w:val="0"/>
                <w:sz w:val="24"/>
                <w:szCs w:val="24"/>
                <w:lang w:bidi="ar-SA"/>
              </w:rPr>
            </w:pPr>
            <w:r>
              <w:rPr>
                <w:rFonts w:hint="eastAsia"/>
                <w:color w:val="000000"/>
                <w:sz w:val="24"/>
                <w:szCs w:val="24"/>
              </w:rPr>
              <w:t>1、软件内嵌于无线话筒系统设备，话筒呼叫控制功能；</w:t>
            </w:r>
            <w:r>
              <w:rPr>
                <w:rFonts w:hint="eastAsia"/>
                <w:color w:val="000000"/>
                <w:sz w:val="24"/>
                <w:szCs w:val="24"/>
              </w:rPr>
              <w:br w:type="textWrapping"/>
            </w:r>
            <w:r>
              <w:rPr>
                <w:rFonts w:hint="eastAsia"/>
                <w:color w:val="000000"/>
                <w:sz w:val="24"/>
                <w:szCs w:val="24"/>
              </w:rPr>
              <w:t>2、采用UHF超高频段双真分集接收，并采用PLL锁相环多信道频率合成技术；</w:t>
            </w:r>
            <w:r>
              <w:rPr>
                <w:rFonts w:hint="eastAsia"/>
                <w:color w:val="000000"/>
                <w:sz w:val="24"/>
                <w:szCs w:val="24"/>
              </w:rPr>
              <w:br w:type="textWrapping"/>
            </w:r>
            <w:r>
              <w:rPr>
                <w:rFonts w:hint="eastAsia"/>
                <w:color w:val="000000"/>
                <w:sz w:val="24"/>
                <w:szCs w:val="24"/>
              </w:rPr>
              <w:t>3、支持二次变频超外差接收机方式，支持单独调节音量，支持信道选择、频率可调、可设置主机与话筒配对。</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套</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8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电源时序器</w:t>
            </w:r>
          </w:p>
        </w:tc>
        <w:tc>
          <w:tcPr>
            <w:tcW w:w="5413" w:type="dxa"/>
            <w:noWrap w:val="0"/>
            <w:vAlign w:val="center"/>
          </w:tcPr>
          <w:p>
            <w:pPr>
              <w:widowControl/>
              <w:jc w:val="left"/>
              <w:rPr>
                <w:rFonts w:hint="eastAsia" w:ascii="宋体" w:cs="宋体"/>
                <w:color w:val="000000"/>
                <w:kern w:val="0"/>
                <w:sz w:val="24"/>
                <w:szCs w:val="24"/>
                <w:lang w:bidi="ar-SA"/>
              </w:rPr>
            </w:pPr>
            <w:r>
              <w:rPr>
                <w:rFonts w:hint="eastAsia"/>
                <w:color w:val="000000"/>
                <w:sz w:val="24"/>
                <w:szCs w:val="24"/>
              </w:rPr>
              <w:t>1、≥8通道电源时序打开/关闭；</w:t>
            </w:r>
            <w:r>
              <w:rPr>
                <w:rFonts w:hint="eastAsia"/>
                <w:color w:val="000000"/>
                <w:sz w:val="24"/>
                <w:szCs w:val="24"/>
              </w:rPr>
              <w:br w:type="textWrapping"/>
            </w:r>
            <w:r>
              <w:rPr>
                <w:rFonts w:hint="eastAsia"/>
                <w:color w:val="000000"/>
                <w:sz w:val="24"/>
                <w:szCs w:val="24"/>
              </w:rPr>
              <w:t>2、远程控制（上电+24V直流信号）8通道电源时序打开/关闭，当电源开关锁处于off位置时有效；支持配置CH1和CH2通道为受控或不受控状态；</w:t>
            </w:r>
            <w:r>
              <w:rPr>
                <w:rFonts w:hint="eastAsia"/>
                <w:color w:val="000000"/>
                <w:sz w:val="24"/>
                <w:szCs w:val="24"/>
              </w:rPr>
              <w:br w:type="textWrapping"/>
            </w:r>
            <w:r>
              <w:rPr>
                <w:rFonts w:hint="eastAsia"/>
                <w:color w:val="000000"/>
                <w:sz w:val="24"/>
                <w:szCs w:val="24"/>
              </w:rPr>
              <w:t>3、当远程控制有效时同时控制后板ALARM（报警）端口导通，起到级联控制ALARM（报警）功能；</w:t>
            </w:r>
            <w:r>
              <w:rPr>
                <w:rFonts w:hint="eastAsia"/>
                <w:color w:val="000000"/>
                <w:sz w:val="24"/>
                <w:szCs w:val="24"/>
              </w:rPr>
              <w:br w:type="textWrapping"/>
            </w:r>
            <w:r>
              <w:rPr>
                <w:rFonts w:hint="eastAsia"/>
                <w:color w:val="000000"/>
                <w:sz w:val="24"/>
                <w:szCs w:val="24"/>
              </w:rPr>
              <w:t>4、单个通道最大负载功率2200W，所有通道负载总功率达6000W。</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台</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076" w:type="dxa"/>
            <w:gridSpan w:val="3"/>
            <w:noWrap w:val="0"/>
            <w:vAlign w:val="center"/>
          </w:tcPr>
          <w:p>
            <w:pPr>
              <w:widowControl/>
              <w:jc w:val="left"/>
              <w:rPr>
                <w:rFonts w:hint="eastAsia" w:ascii="宋体" w:cs="宋体"/>
                <w:b/>
                <w:bCs/>
                <w:color w:val="000000"/>
                <w:kern w:val="0"/>
                <w:sz w:val="24"/>
                <w:szCs w:val="24"/>
                <w:lang w:bidi="ar-SA"/>
              </w:rPr>
            </w:pPr>
            <w:r>
              <w:rPr>
                <w:rFonts w:hint="eastAsia" w:ascii="宋体" w:cs="宋体"/>
                <w:b/>
                <w:bCs/>
                <w:color w:val="000000"/>
                <w:kern w:val="0"/>
                <w:sz w:val="24"/>
                <w:szCs w:val="24"/>
                <w:lang w:bidi="ar-SA"/>
              </w:rPr>
              <w:t>二）二楼应急指挥分会场会议系统</w:t>
            </w:r>
          </w:p>
        </w:tc>
        <w:tc>
          <w:tcPr>
            <w:tcW w:w="640" w:type="dxa"/>
            <w:noWrap w:val="0"/>
            <w:vAlign w:val="center"/>
          </w:tcPr>
          <w:p>
            <w:pPr>
              <w:widowControl/>
              <w:jc w:val="center"/>
              <w:rPr>
                <w:rFonts w:hint="eastAsia" w:ascii="宋体" w:cs="宋体"/>
                <w:b/>
                <w:bCs/>
                <w:color w:val="000000"/>
                <w:kern w:val="0"/>
                <w:sz w:val="24"/>
                <w:szCs w:val="24"/>
                <w:lang w:bidi="ar-SA"/>
              </w:rPr>
            </w:pPr>
            <w:r>
              <w:rPr>
                <w:rFonts w:hint="eastAsia" w:ascii="宋体" w:cs="宋体"/>
                <w:b/>
                <w:bCs/>
                <w:color w:val="000000"/>
                <w:kern w:val="0"/>
                <w:sz w:val="24"/>
                <w:szCs w:val="24"/>
                <w:lang w:bidi="ar-SA"/>
              </w:rPr>
              <w:t>　</w:t>
            </w:r>
          </w:p>
        </w:tc>
        <w:tc>
          <w:tcPr>
            <w:tcW w:w="656" w:type="dxa"/>
            <w:noWrap w:val="0"/>
            <w:vAlign w:val="center"/>
          </w:tcPr>
          <w:p>
            <w:pPr>
              <w:widowControl/>
              <w:jc w:val="left"/>
              <w:rPr>
                <w:rFonts w:hint="eastAsia" w:ascii="宋体" w:cs="宋体"/>
                <w:b/>
                <w:bCs/>
                <w:color w:val="000000"/>
                <w:kern w:val="0"/>
                <w:sz w:val="24"/>
                <w:szCs w:val="24"/>
                <w:lang w:bidi="ar-SA"/>
              </w:rPr>
            </w:pPr>
            <w:r>
              <w:rPr>
                <w:rFonts w:hint="eastAsia" w:ascii="宋体" w:cs="宋体"/>
                <w:b/>
                <w:bCs/>
                <w:color w:val="000000"/>
                <w:kern w:val="0"/>
                <w:sz w:val="24"/>
                <w:szCs w:val="24"/>
                <w:lang w:bidi="ar-SA"/>
              </w:rPr>
              <w:t>　</w:t>
            </w:r>
          </w:p>
          <w:p>
            <w:pPr>
              <w:widowControl/>
              <w:jc w:val="left"/>
              <w:rPr>
                <w:rFonts w:hint="eastAsia" w:ascii="宋体" w:cs="宋体"/>
                <w:b/>
                <w:bCs/>
                <w:color w:val="000000"/>
                <w:kern w:val="0"/>
                <w:sz w:val="24"/>
                <w:szCs w:val="24"/>
                <w:lang w:bidi="ar-SA"/>
              </w:rPr>
            </w:pPr>
            <w:r>
              <w:rPr>
                <w:rFonts w:hint="eastAsia" w:ascii="宋体" w:cs="宋体"/>
                <w:b/>
                <w:bCs/>
                <w:color w:val="000000"/>
                <w:kern w:val="0"/>
                <w:sz w:val="24"/>
                <w:szCs w:val="24"/>
                <w:lang w:bidi="ar-SA"/>
              </w:rPr>
              <w:t>　</w:t>
            </w:r>
          </w:p>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1</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网络中控主机</w:t>
            </w:r>
          </w:p>
        </w:tc>
        <w:tc>
          <w:tcPr>
            <w:tcW w:w="5413" w:type="dxa"/>
            <w:noWrap w:val="0"/>
            <w:vAlign w:val="center"/>
          </w:tcPr>
          <w:p>
            <w:pPr>
              <w:widowControl/>
              <w:jc w:val="left"/>
              <w:rPr>
                <w:color w:val="000000"/>
                <w:sz w:val="24"/>
                <w:szCs w:val="24"/>
              </w:rPr>
            </w:pPr>
            <w:r>
              <w:rPr>
                <w:rFonts w:hint="eastAsia"/>
                <w:color w:val="000000"/>
                <w:sz w:val="24"/>
                <w:szCs w:val="24"/>
              </w:rPr>
              <w:t>1、≥19英寸机柜设计，面板具有指示灯，可直观反馈串口、红外、设备的工作状态，面板有≥4.3英寸LCD触摸彩屏，可查看IP地址、修改IP地址；</w:t>
            </w:r>
          </w:p>
          <w:p>
            <w:pPr>
              <w:widowControl/>
              <w:jc w:val="left"/>
              <w:rPr>
                <w:color w:val="000000"/>
                <w:sz w:val="24"/>
                <w:szCs w:val="24"/>
              </w:rPr>
            </w:pPr>
            <w:r>
              <w:rPr>
                <w:rFonts w:hint="eastAsia"/>
                <w:color w:val="000000"/>
                <w:sz w:val="24"/>
                <w:szCs w:val="24"/>
              </w:rPr>
              <w:t>3、支持IOS平台（iPhone/ipad）、安卓平台等移动设备终端通过wifi与主机通讯，支持操作状态双向反馈功能；</w:t>
            </w:r>
          </w:p>
          <w:p>
            <w:pPr>
              <w:widowControl/>
              <w:jc w:val="left"/>
              <w:rPr>
                <w:color w:val="000000"/>
                <w:sz w:val="24"/>
                <w:szCs w:val="24"/>
              </w:rPr>
            </w:pPr>
            <w:r>
              <w:rPr>
                <w:color w:val="000000"/>
                <w:sz w:val="24"/>
                <w:szCs w:val="24"/>
              </w:rPr>
              <w:t>4</w:t>
            </w:r>
            <w:r>
              <w:rPr>
                <w:rFonts w:hint="eastAsia"/>
                <w:color w:val="000000"/>
                <w:sz w:val="24"/>
                <w:szCs w:val="24"/>
              </w:rPr>
              <w:t>、采用32位Cortex-A8 ARM架构内嵌式处理器，处理速度最高可达720MHz，主机内置256MDPR及8 GEMMC的大容量FLASH 存储器。</w:t>
            </w:r>
          </w:p>
          <w:p>
            <w:pPr>
              <w:widowControl/>
              <w:jc w:val="left"/>
              <w:rPr>
                <w:color w:val="000000"/>
                <w:sz w:val="24"/>
                <w:szCs w:val="24"/>
              </w:rPr>
            </w:pPr>
            <w:r>
              <w:rPr>
                <w:color w:val="000000"/>
                <w:sz w:val="24"/>
                <w:szCs w:val="24"/>
              </w:rPr>
              <w:t>5</w:t>
            </w:r>
            <w:r>
              <w:rPr>
                <w:rFonts w:hint="eastAsia"/>
                <w:color w:val="000000"/>
                <w:sz w:val="24"/>
                <w:szCs w:val="24"/>
              </w:rPr>
              <w:t>、主机具备≥8路独立可编程串口，可收发RS-232，RS-485及RS-422信号。</w:t>
            </w:r>
          </w:p>
          <w:p>
            <w:pPr>
              <w:widowControl/>
              <w:jc w:val="left"/>
              <w:rPr>
                <w:color w:val="000000"/>
                <w:sz w:val="24"/>
                <w:szCs w:val="24"/>
              </w:rPr>
            </w:pPr>
            <w:r>
              <w:rPr>
                <w:color w:val="000000"/>
                <w:sz w:val="24"/>
                <w:szCs w:val="24"/>
              </w:rPr>
              <w:t>6</w:t>
            </w:r>
            <w:r>
              <w:rPr>
                <w:rFonts w:hint="eastAsia"/>
                <w:color w:val="000000"/>
                <w:sz w:val="24"/>
                <w:szCs w:val="24"/>
              </w:rPr>
              <w:t>、支持串口环出功能，主机的8路串口均可实现任意一个输入都可以从另外一个串口环出。</w:t>
            </w:r>
          </w:p>
          <w:p>
            <w:pPr>
              <w:widowControl/>
              <w:jc w:val="left"/>
              <w:rPr>
                <w:color w:val="000000"/>
                <w:sz w:val="24"/>
                <w:szCs w:val="24"/>
              </w:rPr>
            </w:pPr>
            <w:r>
              <w:rPr>
                <w:color w:val="000000"/>
                <w:sz w:val="24"/>
                <w:szCs w:val="24"/>
              </w:rPr>
              <w:t>7</w:t>
            </w:r>
            <w:r>
              <w:rPr>
                <w:rFonts w:hint="eastAsia"/>
                <w:color w:val="000000"/>
                <w:sz w:val="24"/>
                <w:szCs w:val="24"/>
              </w:rPr>
              <w:t>、主机具备≥8路独立可编程IR红外发射口，主机具备≥8路数字I/0输入输出控制口，带保护电路，主机具备≥8路弱电继电器控制接口，主机具备≥1个NET网络控制接口，可做外部功能扩展使用，可并接256个网络设备。</w:t>
            </w:r>
          </w:p>
          <w:p>
            <w:pPr>
              <w:widowControl/>
              <w:jc w:val="left"/>
              <w:rPr>
                <w:rFonts w:hint="eastAsia" w:ascii="宋体" w:cs="宋体"/>
                <w:color w:val="000000"/>
                <w:kern w:val="0"/>
                <w:sz w:val="24"/>
                <w:szCs w:val="24"/>
                <w:lang w:bidi="ar-SA"/>
              </w:rPr>
            </w:pPr>
            <w:r>
              <w:rPr>
                <w:color w:val="000000"/>
                <w:sz w:val="24"/>
                <w:szCs w:val="24"/>
              </w:rPr>
              <w:t>8</w:t>
            </w:r>
            <w:r>
              <w:rPr>
                <w:rFonts w:hint="eastAsia"/>
                <w:color w:val="000000"/>
                <w:sz w:val="24"/>
                <w:szCs w:val="24"/>
              </w:rPr>
              <w:t>、支持≥1路TF卡接口，实现项目中的程序导入或导出。</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台</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2</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网络中控系统逻辑处理内嵌软件</w:t>
            </w:r>
          </w:p>
        </w:tc>
        <w:tc>
          <w:tcPr>
            <w:tcW w:w="5413" w:type="dxa"/>
            <w:noWrap w:val="0"/>
            <w:vAlign w:val="center"/>
          </w:tcPr>
          <w:p>
            <w:pPr>
              <w:widowControl/>
              <w:jc w:val="left"/>
              <w:rPr>
                <w:rFonts w:hint="eastAsia" w:ascii="宋体" w:cs="宋体"/>
                <w:color w:val="000000"/>
                <w:kern w:val="0"/>
                <w:sz w:val="24"/>
                <w:szCs w:val="24"/>
                <w:lang w:bidi="ar-SA"/>
              </w:rPr>
            </w:pPr>
            <w:r>
              <w:rPr>
                <w:rFonts w:hint="eastAsia"/>
                <w:color w:val="000000"/>
                <w:sz w:val="24"/>
                <w:szCs w:val="24"/>
              </w:rPr>
              <w:t>1、软件内嵌于中央控制系统主机设备，实现系统控制逻辑、处理等功能；</w:t>
            </w:r>
            <w:r>
              <w:rPr>
                <w:rFonts w:hint="eastAsia"/>
                <w:color w:val="000000"/>
                <w:sz w:val="24"/>
                <w:szCs w:val="24"/>
              </w:rPr>
              <w:br w:type="textWrapping"/>
            </w:r>
            <w:r>
              <w:rPr>
                <w:rFonts w:hint="eastAsia"/>
                <w:color w:val="000000"/>
                <w:sz w:val="24"/>
                <w:szCs w:val="24"/>
              </w:rPr>
              <w:t>2、主要包括硬件逻辑模块、软件逻辑模块、红外代码管理、编译、下载、监视等；</w:t>
            </w:r>
            <w:r>
              <w:rPr>
                <w:rFonts w:hint="eastAsia"/>
                <w:color w:val="000000"/>
                <w:sz w:val="24"/>
                <w:szCs w:val="24"/>
              </w:rPr>
              <w:br w:type="textWrapping"/>
            </w:r>
            <w:r>
              <w:rPr>
                <w:rFonts w:hint="eastAsia"/>
                <w:color w:val="000000"/>
                <w:sz w:val="24"/>
                <w:szCs w:val="24"/>
              </w:rPr>
              <w:t>3、编程软件支持添加与实际工程对应硬件的逻辑模块；</w:t>
            </w:r>
            <w:r>
              <w:rPr>
                <w:rFonts w:hint="eastAsia"/>
                <w:color w:val="000000"/>
                <w:sz w:val="24"/>
                <w:szCs w:val="24"/>
              </w:rPr>
              <w:br w:type="textWrapping"/>
            </w:r>
            <w:r>
              <w:rPr>
                <w:rFonts w:hint="eastAsia"/>
                <w:color w:val="000000"/>
                <w:sz w:val="24"/>
                <w:szCs w:val="24"/>
              </w:rPr>
              <w:t>4、实现串口代码数据、IR红外数据、继电器、I/O数据等的代码转发、逻辑算法处理等编程功能；</w:t>
            </w:r>
            <w:r>
              <w:rPr>
                <w:rFonts w:hint="eastAsia"/>
                <w:color w:val="000000"/>
                <w:sz w:val="24"/>
                <w:szCs w:val="24"/>
              </w:rPr>
              <w:br w:type="textWrapping"/>
            </w:r>
            <w:r>
              <w:rPr>
                <w:rFonts w:hint="eastAsia"/>
                <w:color w:val="000000"/>
                <w:sz w:val="24"/>
                <w:szCs w:val="24"/>
              </w:rPr>
              <w:t>5、支持界面设计软件实现中控控制界面的制作及编辑，支持互锁模式，支持3D按键等灵活的按键设计模块。</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套</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eastAsia="宋体" w:cs="宋体"/>
                <w:color w:val="000000"/>
                <w:kern w:val="0"/>
                <w:sz w:val="24"/>
                <w:szCs w:val="24"/>
                <w:lang w:eastAsia="zh-CN" w:bidi="ar-SA"/>
              </w:rPr>
            </w:pPr>
            <w:r>
              <w:rPr>
                <w:rFonts w:hint="eastAsia" w:ascii="宋体" w:cs="宋体"/>
                <w:color w:val="000000"/>
                <w:kern w:val="0"/>
                <w:sz w:val="24"/>
                <w:szCs w:val="24"/>
                <w:lang w:val="en-US" w:eastAsia="zh-CN" w:bidi="ar-SA"/>
              </w:rPr>
              <w:t>3</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无线路由器</w:t>
            </w:r>
          </w:p>
        </w:tc>
        <w:tc>
          <w:tcPr>
            <w:tcW w:w="5413" w:type="dxa"/>
            <w:noWrap w:val="0"/>
            <w:vAlign w:val="center"/>
          </w:tcPr>
          <w:p>
            <w:pPr>
              <w:widowControl/>
              <w:jc w:val="left"/>
              <w:rPr>
                <w:rFonts w:hint="eastAsia" w:ascii="宋体" w:cs="宋体"/>
                <w:color w:val="000000"/>
                <w:kern w:val="0"/>
                <w:sz w:val="24"/>
                <w:szCs w:val="24"/>
                <w:lang w:bidi="ar-SA"/>
              </w:rPr>
            </w:pPr>
            <w:r>
              <w:rPr>
                <w:rFonts w:hint="eastAsia"/>
                <w:color w:val="000000"/>
                <w:sz w:val="24"/>
                <w:szCs w:val="24"/>
              </w:rPr>
              <w:t>适用频段：2.4GHz；5GHz；2.4GHz+5GHz；LAN口数量：≥3个，WAN口数量：≥1个；传输速率：≥1200M。</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台</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4</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控制器</w:t>
            </w:r>
          </w:p>
        </w:tc>
        <w:tc>
          <w:tcPr>
            <w:tcW w:w="5413" w:type="dxa"/>
            <w:noWrap w:val="0"/>
            <w:vAlign w:val="center"/>
          </w:tcPr>
          <w:p>
            <w:pPr>
              <w:widowControl/>
              <w:jc w:val="left"/>
              <w:rPr>
                <w:color w:val="000000"/>
                <w:sz w:val="24"/>
                <w:szCs w:val="24"/>
              </w:rPr>
            </w:pPr>
            <w:r>
              <w:rPr>
                <w:rFonts w:hint="eastAsia"/>
                <w:color w:val="000000"/>
                <w:sz w:val="24"/>
                <w:szCs w:val="24"/>
              </w:rPr>
              <w:t>1、具有≥8路自动、手动电源控制器，内置8个20A继电器，最大负载能力4400W/单路；配合中控主机使用，用于控制灯光、电动投影幕、电动窗帘等会议室周边设备；</w:t>
            </w:r>
          </w:p>
          <w:p>
            <w:pPr>
              <w:widowControl/>
              <w:jc w:val="left"/>
              <w:rPr>
                <w:color w:val="000000"/>
                <w:sz w:val="24"/>
                <w:szCs w:val="24"/>
              </w:rPr>
            </w:pPr>
            <w:r>
              <w:rPr>
                <w:rFonts w:hint="eastAsia"/>
                <w:color w:val="000000"/>
                <w:sz w:val="24"/>
                <w:szCs w:val="24"/>
              </w:rPr>
              <w:t>2、每路继电器都有三连接点的接线柱,具有常开与常闭的功能，载入容量单路功率≥20A；</w:t>
            </w:r>
          </w:p>
          <w:p>
            <w:pPr>
              <w:widowControl/>
              <w:jc w:val="left"/>
              <w:rPr>
                <w:color w:val="000000"/>
                <w:sz w:val="24"/>
                <w:szCs w:val="24"/>
              </w:rPr>
            </w:pPr>
            <w:r>
              <w:rPr>
                <w:rFonts w:hint="eastAsia"/>
                <w:color w:val="000000"/>
                <w:sz w:val="24"/>
                <w:szCs w:val="24"/>
              </w:rPr>
              <w:t>3、具有复位按键，支持恢复到出厂的默认设置。具有1路网络接口，支持通过网络实现远程控制；</w:t>
            </w:r>
          </w:p>
          <w:p>
            <w:pPr>
              <w:widowControl/>
              <w:jc w:val="left"/>
              <w:rPr>
                <w:color w:val="000000"/>
                <w:sz w:val="24"/>
                <w:szCs w:val="24"/>
              </w:rPr>
            </w:pPr>
            <w:r>
              <w:rPr>
                <w:rFonts w:hint="eastAsia"/>
                <w:color w:val="000000"/>
                <w:sz w:val="24"/>
                <w:szCs w:val="24"/>
              </w:rPr>
              <w:t>4、具有设备运行状态指示灯及8个继电器的开关状态指示灯，具有键盘锁（LOCK）功能，防止误操作，便于用于维护管理。</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台</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076" w:type="dxa"/>
            <w:gridSpan w:val="3"/>
            <w:noWrap w:val="0"/>
            <w:vAlign w:val="center"/>
          </w:tcPr>
          <w:p>
            <w:pPr>
              <w:widowControl/>
              <w:jc w:val="left"/>
              <w:rPr>
                <w:rFonts w:hint="eastAsia" w:ascii="宋体" w:cs="宋体"/>
                <w:b/>
                <w:bCs/>
                <w:color w:val="000000"/>
                <w:kern w:val="0"/>
                <w:sz w:val="24"/>
                <w:szCs w:val="24"/>
                <w:lang w:bidi="ar-SA"/>
              </w:rPr>
            </w:pPr>
            <w:r>
              <w:rPr>
                <w:rFonts w:hint="eastAsia" w:ascii="宋体" w:cs="宋体"/>
                <w:b/>
                <w:bCs/>
                <w:color w:val="000000"/>
                <w:kern w:val="0"/>
                <w:sz w:val="24"/>
                <w:szCs w:val="24"/>
                <w:lang w:bidi="ar-SA"/>
              </w:rPr>
              <w:t>三）二楼应急指挥分会场矩阵切换系统</w:t>
            </w:r>
          </w:p>
        </w:tc>
        <w:tc>
          <w:tcPr>
            <w:tcW w:w="640" w:type="dxa"/>
            <w:noWrap w:val="0"/>
            <w:vAlign w:val="center"/>
          </w:tcPr>
          <w:p>
            <w:pPr>
              <w:widowControl/>
              <w:jc w:val="center"/>
              <w:rPr>
                <w:rFonts w:hint="eastAsia" w:ascii="宋体" w:cs="宋体"/>
                <w:b/>
                <w:bCs/>
                <w:color w:val="000000"/>
                <w:kern w:val="0"/>
                <w:sz w:val="24"/>
                <w:szCs w:val="24"/>
                <w:lang w:bidi="ar-SA"/>
              </w:rPr>
            </w:pPr>
            <w:r>
              <w:rPr>
                <w:rFonts w:hint="eastAsia" w:ascii="宋体" w:cs="宋体"/>
                <w:b/>
                <w:bCs/>
                <w:color w:val="000000"/>
                <w:kern w:val="0"/>
                <w:sz w:val="24"/>
                <w:szCs w:val="24"/>
                <w:lang w:bidi="ar-SA"/>
              </w:rPr>
              <w:t>　</w:t>
            </w:r>
          </w:p>
        </w:tc>
        <w:tc>
          <w:tcPr>
            <w:tcW w:w="656" w:type="dxa"/>
            <w:noWrap w:val="0"/>
            <w:vAlign w:val="center"/>
          </w:tcPr>
          <w:p>
            <w:pPr>
              <w:widowControl/>
              <w:jc w:val="left"/>
              <w:rPr>
                <w:rFonts w:hint="eastAsia" w:ascii="宋体" w:cs="宋体"/>
                <w:b/>
                <w:bCs/>
                <w:color w:val="000000"/>
                <w:kern w:val="0"/>
                <w:sz w:val="24"/>
                <w:szCs w:val="24"/>
                <w:lang w:bidi="ar-SA"/>
              </w:rPr>
            </w:pPr>
            <w:r>
              <w:rPr>
                <w:rFonts w:hint="eastAsia" w:ascii="宋体" w:cs="宋体"/>
                <w:b/>
                <w:bCs/>
                <w:color w:val="000000"/>
                <w:kern w:val="0"/>
                <w:sz w:val="24"/>
                <w:szCs w:val="24"/>
                <w:lang w:bidi="ar-SA"/>
              </w:rPr>
              <w:t>　</w:t>
            </w:r>
          </w:p>
          <w:p>
            <w:pPr>
              <w:widowControl/>
              <w:jc w:val="left"/>
              <w:rPr>
                <w:rFonts w:hint="eastAsia" w:ascii="宋体" w:cs="宋体"/>
                <w:b/>
                <w:bCs/>
                <w:color w:val="000000"/>
                <w:kern w:val="0"/>
                <w:sz w:val="24"/>
                <w:szCs w:val="24"/>
                <w:lang w:bidi="ar-SA"/>
              </w:rPr>
            </w:pPr>
            <w:r>
              <w:rPr>
                <w:rFonts w:hint="eastAsia" w:ascii="宋体" w:cs="宋体"/>
                <w:b/>
                <w:bCs/>
                <w:color w:val="000000"/>
                <w:kern w:val="0"/>
                <w:sz w:val="24"/>
                <w:szCs w:val="24"/>
                <w:lang w:bidi="ar-SA"/>
              </w:rPr>
              <w:t>　</w:t>
            </w:r>
          </w:p>
          <w:p>
            <w:pPr>
              <w:widowControl/>
              <w:jc w:val="left"/>
              <w:rPr>
                <w:rFonts w:hint="eastAsia" w:ascii="宋体" w:cs="宋体"/>
                <w:b/>
                <w:bCs/>
                <w:color w:val="000000"/>
                <w:kern w:val="0"/>
                <w:sz w:val="24"/>
                <w:szCs w:val="24"/>
                <w:lang w:bidi="ar-SA"/>
              </w:rPr>
            </w:pPr>
            <w:r>
              <w:rPr>
                <w:rFonts w:hint="eastAsia" w:ascii="宋体" w:cs="宋体"/>
                <w:b/>
                <w:bCs/>
                <w:color w:val="000000"/>
                <w:kern w:val="0"/>
                <w:sz w:val="24"/>
                <w:szCs w:val="24"/>
                <w:lang w:bidi="ar-SA"/>
              </w:rPr>
              <w:t>　</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1</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无缝高清矩阵切换器</w:t>
            </w:r>
          </w:p>
        </w:tc>
        <w:tc>
          <w:tcPr>
            <w:tcW w:w="5413" w:type="dxa"/>
            <w:noWrap w:val="0"/>
            <w:vAlign w:val="center"/>
          </w:tcPr>
          <w:p>
            <w:pPr>
              <w:widowControl/>
              <w:jc w:val="left"/>
              <w:rPr>
                <w:color w:val="000000"/>
                <w:sz w:val="24"/>
                <w:szCs w:val="24"/>
              </w:rPr>
            </w:pPr>
            <w:r>
              <w:rPr>
                <w:rFonts w:hint="eastAsia"/>
                <w:color w:val="000000"/>
                <w:sz w:val="24"/>
                <w:szCs w:val="24"/>
              </w:rPr>
              <w:t>1、可配置输入/输出信号卡的模块化矩阵主机，支持8×8路信号切换；</w:t>
            </w:r>
          </w:p>
          <w:p>
            <w:pPr>
              <w:widowControl/>
              <w:jc w:val="left"/>
              <w:rPr>
                <w:color w:val="000000"/>
                <w:sz w:val="24"/>
                <w:szCs w:val="24"/>
              </w:rPr>
            </w:pPr>
            <w:r>
              <w:rPr>
                <w:rFonts w:hint="eastAsia"/>
                <w:color w:val="000000"/>
                <w:sz w:val="24"/>
                <w:szCs w:val="24"/>
              </w:rPr>
              <w:t>2、支持HDMI、DVI、VGA、SDI、HDBaseT、光纤的任意输入/输出信号卡，其中DVI输入卡兼容CVBS，YUV,S-VIDEO信号，VGA输入/输出卡均兼容CVBS，YUV,S-VIDEO；</w:t>
            </w:r>
          </w:p>
          <w:p>
            <w:pPr>
              <w:widowControl/>
              <w:jc w:val="left"/>
              <w:rPr>
                <w:color w:val="000000"/>
                <w:sz w:val="24"/>
                <w:szCs w:val="24"/>
              </w:rPr>
            </w:pPr>
            <w:r>
              <w:rPr>
                <w:rFonts w:hint="eastAsia"/>
                <w:color w:val="000000"/>
                <w:sz w:val="24"/>
                <w:szCs w:val="24"/>
              </w:rPr>
              <w:t>3、通过定制配置各类相同或不同的输入输出卡可以组成单一接口类型或多接口类型的矩阵，如HDMI矩阵，DVI矩阵，VGA矩阵，YUV矩阵，Video矩阵等；</w:t>
            </w:r>
          </w:p>
          <w:p>
            <w:pPr>
              <w:widowControl/>
              <w:jc w:val="left"/>
              <w:rPr>
                <w:color w:val="000000"/>
                <w:sz w:val="24"/>
                <w:szCs w:val="24"/>
              </w:rPr>
            </w:pPr>
            <w:r>
              <w:rPr>
                <w:rFonts w:hint="eastAsia"/>
                <w:color w:val="000000"/>
                <w:sz w:val="24"/>
                <w:szCs w:val="24"/>
              </w:rPr>
              <w:t>4、支持最大分辨率达到4Kx2K，支持无缝切换功能，切换过程无黑屏信号，支持1路RS-232.1路RS-485.1路wifi(手机APP）、1路网口（网页）、1路TCP/IP端口（PC软件），支持外接面板控制接口，支持音视频信号同步切换，支持模拟音频与HDMI内嵌音频选择输入，支持模拟音频与HDMI内嵌音频同时输出；</w:t>
            </w:r>
          </w:p>
          <w:p>
            <w:pPr>
              <w:widowControl/>
              <w:jc w:val="left"/>
              <w:rPr>
                <w:color w:val="000000"/>
                <w:sz w:val="24"/>
                <w:szCs w:val="24"/>
              </w:rPr>
            </w:pPr>
            <w:r>
              <w:rPr>
                <w:color w:val="000000"/>
                <w:sz w:val="24"/>
                <w:szCs w:val="24"/>
              </w:rPr>
              <w:t>5</w:t>
            </w:r>
            <w:r>
              <w:rPr>
                <w:rFonts w:hint="eastAsia"/>
                <w:color w:val="000000"/>
                <w:sz w:val="24"/>
                <w:szCs w:val="24"/>
              </w:rPr>
              <w:t>、HDBaseT输入输出信号支持双向 RS-232 和双向 IR 信号传输，可对RS-232和IR 信号选择随视频信号切换，或分离切换模式，支持扩展POC模块对外设供电；</w:t>
            </w:r>
          </w:p>
          <w:p>
            <w:pPr>
              <w:widowControl/>
              <w:jc w:val="left"/>
              <w:rPr>
                <w:color w:val="000000"/>
                <w:sz w:val="24"/>
                <w:szCs w:val="24"/>
              </w:rPr>
            </w:pPr>
            <w:r>
              <w:rPr>
                <w:color w:val="000000"/>
                <w:sz w:val="24"/>
                <w:szCs w:val="24"/>
              </w:rPr>
              <w:t>6</w:t>
            </w:r>
            <w:r>
              <w:rPr>
                <w:rFonts w:hint="eastAsia"/>
                <w:color w:val="000000"/>
                <w:sz w:val="24"/>
                <w:szCs w:val="24"/>
              </w:rPr>
              <w:t>、支持断电记忆功能，支持智能温控，控制矩阵风扇的运行，系统内可存储多组预切换指令，调用时可以一键切换，支持KVM坐席管理功能，通过一套键盘鼠标显示器切换、管理多台计算机设备。</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台</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2</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高清无缝混插矩阵切换内嵌软件</w:t>
            </w:r>
          </w:p>
        </w:tc>
        <w:tc>
          <w:tcPr>
            <w:tcW w:w="5413" w:type="dxa"/>
            <w:noWrap w:val="0"/>
            <w:vAlign w:val="center"/>
          </w:tcPr>
          <w:p>
            <w:pPr>
              <w:widowControl/>
              <w:jc w:val="left"/>
              <w:rPr>
                <w:rFonts w:hint="eastAsia" w:ascii="宋体" w:cs="宋体"/>
                <w:color w:val="000000"/>
                <w:kern w:val="0"/>
                <w:sz w:val="24"/>
                <w:szCs w:val="24"/>
                <w:lang w:bidi="ar-SA"/>
              </w:rPr>
            </w:pPr>
            <w:r>
              <w:rPr>
                <w:rFonts w:hint="eastAsia"/>
                <w:color w:val="000000"/>
                <w:sz w:val="24"/>
                <w:szCs w:val="24"/>
              </w:rPr>
              <w:t>1、软件内嵌于高清混插矩阵切换系统，实现各类高清晰数字/模拟信号的处理、切换等功能；</w:t>
            </w:r>
            <w:r>
              <w:rPr>
                <w:rFonts w:hint="eastAsia"/>
                <w:color w:val="000000"/>
                <w:sz w:val="24"/>
                <w:szCs w:val="24"/>
              </w:rPr>
              <w:br w:type="textWrapping"/>
            </w:r>
            <w:r>
              <w:rPr>
                <w:rFonts w:hint="eastAsia"/>
                <w:color w:val="000000"/>
                <w:sz w:val="24"/>
                <w:szCs w:val="24"/>
              </w:rPr>
              <w:t>2、支持分辨率高达1920×1080P@60Hz的处理能力，支持信号无缝切换，切换过程无黑屏信号，支持通过专业的PC上位机管理软件控制；</w:t>
            </w:r>
            <w:r>
              <w:rPr>
                <w:rFonts w:hint="eastAsia"/>
                <w:color w:val="000000"/>
                <w:sz w:val="24"/>
                <w:szCs w:val="24"/>
              </w:rPr>
              <w:br w:type="textWrapping"/>
            </w:r>
            <w:r>
              <w:rPr>
                <w:color w:val="000000"/>
                <w:sz w:val="24"/>
                <w:szCs w:val="24"/>
              </w:rPr>
              <w:t>3</w:t>
            </w:r>
            <w:r>
              <w:rPr>
                <w:rFonts w:hint="eastAsia"/>
                <w:color w:val="000000"/>
                <w:sz w:val="24"/>
                <w:szCs w:val="24"/>
              </w:rPr>
              <w:t>、通过矩阵切换信号或通过软件切换信号。</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套</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3</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HDMI无缝高清输入卡</w:t>
            </w:r>
          </w:p>
        </w:tc>
        <w:tc>
          <w:tcPr>
            <w:tcW w:w="5413" w:type="dxa"/>
            <w:noWrap w:val="0"/>
            <w:vAlign w:val="center"/>
          </w:tcPr>
          <w:p>
            <w:pPr>
              <w:widowControl/>
              <w:jc w:val="left"/>
              <w:rPr>
                <w:rFonts w:hint="eastAsia" w:ascii="宋体" w:cs="宋体"/>
                <w:color w:val="000000"/>
                <w:kern w:val="0"/>
                <w:sz w:val="24"/>
                <w:szCs w:val="24"/>
                <w:lang w:bidi="ar-SA"/>
              </w:rPr>
            </w:pPr>
            <w:r>
              <w:rPr>
                <w:rFonts w:hint="eastAsia"/>
                <w:color w:val="000000"/>
                <w:sz w:val="24"/>
                <w:szCs w:val="24"/>
              </w:rPr>
              <w:t>1、支持≥4路HDMI-A母接口和3.5mm音频座，支持快速无缝切换，无闪烁，无黑屏，支持断电现场切换记忆保护功能，特有ESD静电保护功能；</w:t>
            </w:r>
            <w:r>
              <w:rPr>
                <w:rFonts w:hint="eastAsia"/>
                <w:color w:val="000000"/>
                <w:sz w:val="24"/>
                <w:szCs w:val="24"/>
              </w:rPr>
              <w:br w:type="textWrapping"/>
            </w:r>
            <w:r>
              <w:rPr>
                <w:color w:val="000000"/>
                <w:sz w:val="24"/>
                <w:szCs w:val="24"/>
              </w:rPr>
              <w:t>2</w:t>
            </w:r>
            <w:r>
              <w:rPr>
                <w:rFonts w:hint="eastAsia"/>
                <w:color w:val="000000"/>
                <w:sz w:val="24"/>
                <w:szCs w:val="24"/>
              </w:rPr>
              <w:t xml:space="preserve">、支持模拟音频与HDMI内嵌音频选择输入，兼容HDMI1.3a的标准，HDCP1.3协议，DVI1.0协议； </w:t>
            </w:r>
            <w:r>
              <w:rPr>
                <w:rFonts w:hint="eastAsia"/>
                <w:color w:val="000000"/>
                <w:sz w:val="24"/>
                <w:szCs w:val="24"/>
              </w:rPr>
              <w:br w:type="textWrapping"/>
            </w:r>
            <w:r>
              <w:rPr>
                <w:color w:val="000000"/>
                <w:sz w:val="24"/>
                <w:szCs w:val="24"/>
              </w:rPr>
              <w:t>3</w:t>
            </w:r>
            <w:r>
              <w:rPr>
                <w:rFonts w:hint="eastAsia"/>
                <w:color w:val="000000"/>
                <w:sz w:val="24"/>
                <w:szCs w:val="24"/>
              </w:rPr>
              <w:t>、最大支持分辨率：≥1920X1200P@60，支持热插拔。</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2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块</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4</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HDMI无缝高清输出卡</w:t>
            </w:r>
          </w:p>
        </w:tc>
        <w:tc>
          <w:tcPr>
            <w:tcW w:w="5413" w:type="dxa"/>
            <w:noWrap w:val="0"/>
            <w:vAlign w:val="center"/>
          </w:tcPr>
          <w:p>
            <w:pPr>
              <w:widowControl/>
              <w:jc w:val="left"/>
              <w:rPr>
                <w:rFonts w:hint="eastAsia" w:ascii="宋体" w:cs="宋体"/>
                <w:color w:val="000000"/>
                <w:kern w:val="0"/>
                <w:sz w:val="24"/>
                <w:szCs w:val="24"/>
                <w:lang w:bidi="ar-SA"/>
              </w:rPr>
            </w:pPr>
            <w:r>
              <w:rPr>
                <w:rFonts w:hint="eastAsia"/>
                <w:color w:val="000000"/>
                <w:sz w:val="24"/>
                <w:szCs w:val="24"/>
              </w:rPr>
              <w:t>1、支持≥4路HDMI-A母接口和3.5mm音频座，支持快速无缝切换，无闪烁，无黑屏，支持断电现场切换记忆保护功能，特有ESD静电保护功能，支持模拟音频与HDMI内嵌音频同时输出；</w:t>
            </w:r>
            <w:r>
              <w:rPr>
                <w:rFonts w:hint="eastAsia"/>
                <w:color w:val="000000"/>
                <w:sz w:val="24"/>
                <w:szCs w:val="24"/>
              </w:rPr>
              <w:br w:type="textWrapping"/>
            </w:r>
            <w:r>
              <w:rPr>
                <w:color w:val="000000"/>
                <w:sz w:val="24"/>
                <w:szCs w:val="24"/>
              </w:rPr>
              <w:t>2</w:t>
            </w:r>
            <w:r>
              <w:rPr>
                <w:rFonts w:hint="eastAsia"/>
                <w:color w:val="000000"/>
                <w:sz w:val="24"/>
                <w:szCs w:val="24"/>
              </w:rPr>
              <w:t>、兼容HDMI1.3a的标准，HDCP1.3协议，DVI1.0协议；</w:t>
            </w:r>
            <w:r>
              <w:rPr>
                <w:rFonts w:hint="eastAsia"/>
                <w:color w:val="000000"/>
                <w:sz w:val="24"/>
                <w:szCs w:val="24"/>
              </w:rPr>
              <w:br w:type="textWrapping"/>
            </w:r>
            <w:r>
              <w:rPr>
                <w:color w:val="000000"/>
                <w:sz w:val="24"/>
                <w:szCs w:val="24"/>
              </w:rPr>
              <w:t>3</w:t>
            </w:r>
            <w:r>
              <w:rPr>
                <w:rFonts w:hint="eastAsia"/>
                <w:color w:val="000000"/>
                <w:sz w:val="24"/>
                <w:szCs w:val="24"/>
              </w:rPr>
              <w:t>、支持倍线功能，最高分辨率支持1080P，支持热插拔。</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2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块</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5</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矩阵输入/输出板卡内嵌软件</w:t>
            </w:r>
          </w:p>
        </w:tc>
        <w:tc>
          <w:tcPr>
            <w:tcW w:w="5413" w:type="dxa"/>
            <w:noWrap w:val="0"/>
            <w:vAlign w:val="center"/>
          </w:tcPr>
          <w:p>
            <w:pPr>
              <w:widowControl/>
              <w:jc w:val="left"/>
              <w:rPr>
                <w:rFonts w:hint="eastAsia" w:ascii="宋体" w:cs="宋体"/>
                <w:color w:val="000000"/>
                <w:kern w:val="0"/>
                <w:sz w:val="24"/>
                <w:szCs w:val="24"/>
                <w:lang w:bidi="ar-SA"/>
              </w:rPr>
            </w:pPr>
            <w:r>
              <w:rPr>
                <w:rFonts w:hint="eastAsia"/>
                <w:color w:val="000000"/>
                <w:sz w:val="24"/>
                <w:szCs w:val="24"/>
              </w:rPr>
              <w:t>1、软件内嵌于高清矩阵系统板卡设备，实现信号的处理功能；</w:t>
            </w:r>
            <w:r>
              <w:rPr>
                <w:rFonts w:hint="eastAsia"/>
                <w:color w:val="000000"/>
                <w:sz w:val="24"/>
                <w:szCs w:val="24"/>
              </w:rPr>
              <w:br w:type="textWrapping"/>
            </w:r>
            <w:r>
              <w:rPr>
                <w:rFonts w:hint="eastAsia"/>
                <w:color w:val="000000"/>
                <w:sz w:val="24"/>
                <w:szCs w:val="24"/>
              </w:rPr>
              <w:t>2、支持分辨率高达1920×1080P@60Hz的处理能力；</w:t>
            </w:r>
            <w:r>
              <w:rPr>
                <w:rFonts w:hint="eastAsia"/>
                <w:color w:val="000000"/>
                <w:sz w:val="24"/>
                <w:szCs w:val="24"/>
              </w:rPr>
              <w:br w:type="textWrapping"/>
            </w:r>
            <w:r>
              <w:rPr>
                <w:rFonts w:hint="eastAsia"/>
                <w:color w:val="000000"/>
                <w:sz w:val="24"/>
                <w:szCs w:val="24"/>
              </w:rPr>
              <w:t>3、通过矩阵切换信号或通过软件切换信号。</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4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套</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6</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机柜</w:t>
            </w:r>
          </w:p>
        </w:tc>
        <w:tc>
          <w:tcPr>
            <w:tcW w:w="5413" w:type="dxa"/>
            <w:noWrap w:val="0"/>
            <w:vAlign w:val="center"/>
          </w:tcPr>
          <w:p>
            <w:pPr>
              <w:widowControl/>
              <w:jc w:val="left"/>
              <w:rPr>
                <w:color w:val="000000"/>
                <w:sz w:val="24"/>
                <w:szCs w:val="24"/>
              </w:rPr>
            </w:pPr>
            <w:r>
              <w:rPr>
                <w:rFonts w:hint="eastAsia"/>
                <w:color w:val="000000"/>
                <w:sz w:val="24"/>
                <w:szCs w:val="24"/>
              </w:rPr>
              <w:t>1、前门为弓形玻璃门，前门框开椭圆通风装饰网孔，后门为网孔双开门，全透风顶，在前门和后门提供足够电缆管理空间，封闭式的电缆管理，电缆从顶部或底部进入，可调整的19英寸安装柱，可以安装目前市场上所有型号的服务器，前后门装有</w:t>
            </w:r>
            <w:r>
              <w:rPr>
                <w:rFonts w:hint="eastAsia"/>
                <w:color w:val="000000"/>
                <w:sz w:val="24"/>
                <w:szCs w:val="24"/>
                <w:lang w:eastAsia="zh-CN"/>
              </w:rPr>
              <w:t>主流</w:t>
            </w:r>
            <w:r>
              <w:rPr>
                <w:rFonts w:hint="eastAsia"/>
                <w:color w:val="000000"/>
                <w:sz w:val="24"/>
                <w:szCs w:val="24"/>
              </w:rPr>
              <w:t>名牌摇把锁；</w:t>
            </w:r>
          </w:p>
          <w:p>
            <w:pPr>
              <w:widowControl/>
              <w:jc w:val="left"/>
              <w:rPr>
                <w:rFonts w:hint="eastAsia" w:ascii="宋体" w:cs="宋体"/>
                <w:color w:val="000000"/>
                <w:kern w:val="0"/>
                <w:sz w:val="24"/>
                <w:szCs w:val="24"/>
                <w:lang w:bidi="ar-SA"/>
              </w:rPr>
            </w:pPr>
            <w:r>
              <w:rPr>
                <w:rFonts w:hint="eastAsia"/>
                <w:color w:val="000000"/>
                <w:sz w:val="24"/>
                <w:szCs w:val="24"/>
              </w:rPr>
              <w:t>2、整体可靠接地，可拆卸的侧门，整体拼装结构，骨架/立柱/门：料厚1.5MM/1.8MM/1.2MM，顶部风扇盘。</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台</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7</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其他辅材</w:t>
            </w:r>
          </w:p>
        </w:tc>
        <w:tc>
          <w:tcPr>
            <w:tcW w:w="5413" w:type="dxa"/>
            <w:noWrap w:val="0"/>
            <w:vAlign w:val="center"/>
          </w:tcPr>
          <w:p>
            <w:pPr>
              <w:widowControl/>
              <w:jc w:val="left"/>
              <w:rPr>
                <w:rFonts w:hint="eastAsia" w:ascii="宋体" w:cs="宋体"/>
                <w:color w:val="000000"/>
                <w:kern w:val="0"/>
                <w:sz w:val="24"/>
                <w:szCs w:val="24"/>
                <w:lang w:bidi="ar-SA"/>
              </w:rPr>
            </w:pPr>
            <w:r>
              <w:rPr>
                <w:rFonts w:hint="eastAsia"/>
                <w:color w:val="000000"/>
                <w:sz w:val="24"/>
                <w:szCs w:val="24"/>
              </w:rPr>
              <w:t>包括：红外发生棒、桌插、音频连接线、音频连接线、网线、水晶头、HDMI视频线、音频线、电源线、管材等。</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套</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076" w:type="dxa"/>
            <w:gridSpan w:val="3"/>
            <w:noWrap w:val="0"/>
            <w:vAlign w:val="center"/>
          </w:tcPr>
          <w:p>
            <w:pPr>
              <w:widowControl/>
              <w:jc w:val="left"/>
              <w:rPr>
                <w:rFonts w:hint="eastAsia" w:ascii="宋体" w:cs="宋体"/>
                <w:b/>
                <w:bCs/>
                <w:color w:val="000000"/>
                <w:kern w:val="0"/>
                <w:sz w:val="24"/>
                <w:szCs w:val="24"/>
                <w:lang w:bidi="ar-SA"/>
              </w:rPr>
            </w:pPr>
            <w:r>
              <w:rPr>
                <w:rFonts w:hint="eastAsia" w:ascii="宋体" w:cs="宋体"/>
                <w:b/>
                <w:bCs/>
                <w:color w:val="000000"/>
                <w:kern w:val="0"/>
                <w:sz w:val="24"/>
                <w:szCs w:val="24"/>
                <w:lang w:bidi="ar-SA"/>
              </w:rPr>
              <w:t>五）四楼应急指挥大厅会议扩声系统</w:t>
            </w:r>
          </w:p>
        </w:tc>
        <w:tc>
          <w:tcPr>
            <w:tcW w:w="640" w:type="dxa"/>
            <w:noWrap w:val="0"/>
            <w:vAlign w:val="center"/>
          </w:tcPr>
          <w:p>
            <w:pPr>
              <w:widowControl/>
              <w:jc w:val="center"/>
              <w:rPr>
                <w:rFonts w:hint="eastAsia" w:ascii="宋体" w:cs="宋体"/>
                <w:b/>
                <w:bCs/>
                <w:color w:val="000000"/>
                <w:kern w:val="0"/>
                <w:sz w:val="24"/>
                <w:szCs w:val="24"/>
                <w:lang w:bidi="ar-SA"/>
              </w:rPr>
            </w:pPr>
            <w:r>
              <w:rPr>
                <w:rFonts w:hint="eastAsia" w:ascii="宋体" w:cs="宋体"/>
                <w:b/>
                <w:bCs/>
                <w:color w:val="000000"/>
                <w:kern w:val="0"/>
                <w:sz w:val="24"/>
                <w:szCs w:val="24"/>
                <w:lang w:bidi="ar-SA"/>
              </w:rPr>
              <w:t>　</w:t>
            </w:r>
          </w:p>
        </w:tc>
        <w:tc>
          <w:tcPr>
            <w:tcW w:w="656" w:type="dxa"/>
            <w:noWrap w:val="0"/>
            <w:vAlign w:val="center"/>
          </w:tcPr>
          <w:p>
            <w:pPr>
              <w:widowControl/>
              <w:jc w:val="left"/>
              <w:rPr>
                <w:rFonts w:hint="eastAsia" w:ascii="宋体" w:cs="宋体"/>
                <w:b/>
                <w:bCs/>
                <w:color w:val="000000"/>
                <w:kern w:val="0"/>
                <w:sz w:val="24"/>
                <w:szCs w:val="24"/>
                <w:lang w:bidi="ar-SA"/>
              </w:rPr>
            </w:pPr>
            <w:r>
              <w:rPr>
                <w:rFonts w:hint="eastAsia" w:ascii="宋体" w:cs="宋体"/>
                <w:b/>
                <w:bCs/>
                <w:color w:val="000000"/>
                <w:kern w:val="0"/>
                <w:sz w:val="24"/>
                <w:szCs w:val="24"/>
                <w:lang w:bidi="ar-SA"/>
              </w:rPr>
              <w:t>　</w:t>
            </w:r>
          </w:p>
          <w:p>
            <w:pPr>
              <w:widowControl/>
              <w:jc w:val="left"/>
              <w:rPr>
                <w:rFonts w:hint="eastAsia" w:ascii="宋体" w:cs="宋体"/>
                <w:b/>
                <w:bCs/>
                <w:color w:val="000000"/>
                <w:kern w:val="0"/>
                <w:sz w:val="24"/>
                <w:szCs w:val="24"/>
                <w:lang w:bidi="ar-SA"/>
              </w:rPr>
            </w:pPr>
            <w:r>
              <w:rPr>
                <w:rFonts w:hint="eastAsia" w:ascii="宋体" w:cs="宋体"/>
                <w:b/>
                <w:bCs/>
                <w:color w:val="000000"/>
                <w:kern w:val="0"/>
                <w:sz w:val="24"/>
                <w:szCs w:val="24"/>
                <w:lang w:bidi="ar-SA"/>
              </w:rPr>
              <w:t>　</w:t>
            </w:r>
          </w:p>
          <w:p>
            <w:pPr>
              <w:widowControl/>
              <w:jc w:val="left"/>
              <w:rPr>
                <w:rFonts w:hint="eastAsia" w:ascii="宋体" w:cs="宋体"/>
                <w:b/>
                <w:bCs/>
                <w:color w:val="000000"/>
                <w:kern w:val="0"/>
                <w:sz w:val="24"/>
                <w:szCs w:val="24"/>
                <w:lang w:bidi="ar-SA"/>
              </w:rPr>
            </w:pPr>
            <w:r>
              <w:rPr>
                <w:rFonts w:hint="eastAsia" w:ascii="宋体" w:cs="宋体"/>
                <w:b/>
                <w:bCs/>
                <w:color w:val="000000"/>
                <w:kern w:val="0"/>
                <w:sz w:val="24"/>
                <w:szCs w:val="24"/>
                <w:lang w:bidi="ar-SA"/>
              </w:rPr>
              <w:t>　</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1</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专业功放</w:t>
            </w:r>
          </w:p>
        </w:tc>
        <w:tc>
          <w:tcPr>
            <w:tcW w:w="5413" w:type="dxa"/>
            <w:noWrap w:val="0"/>
            <w:vAlign w:val="center"/>
          </w:tcPr>
          <w:p>
            <w:pPr>
              <w:widowControl/>
              <w:jc w:val="left"/>
              <w:rPr>
                <w:color w:val="000000"/>
                <w:sz w:val="24"/>
                <w:szCs w:val="24"/>
              </w:rPr>
            </w:pPr>
            <w:r>
              <w:rPr>
                <w:rFonts w:hint="eastAsia"/>
                <w:color w:val="000000"/>
                <w:sz w:val="24"/>
                <w:szCs w:val="24"/>
              </w:rPr>
              <w:t xml:space="preserve">1、智能控制强制散热设计，风机噪音小，散热效率高等特点； </w:t>
            </w:r>
          </w:p>
          <w:p>
            <w:pPr>
              <w:widowControl/>
              <w:jc w:val="left"/>
              <w:rPr>
                <w:color w:val="000000"/>
                <w:sz w:val="24"/>
                <w:szCs w:val="24"/>
              </w:rPr>
            </w:pPr>
            <w:r>
              <w:rPr>
                <w:rFonts w:hint="eastAsia"/>
                <w:color w:val="000000"/>
                <w:sz w:val="24"/>
                <w:szCs w:val="24"/>
              </w:rPr>
              <w:t>2、两声道功放有三档输入灵敏度选择，轻松接纳宽幅度范围信号源输入；</w:t>
            </w:r>
          </w:p>
          <w:p>
            <w:pPr>
              <w:widowControl/>
              <w:jc w:val="left"/>
              <w:rPr>
                <w:color w:val="000000"/>
                <w:sz w:val="24"/>
                <w:szCs w:val="24"/>
              </w:rPr>
            </w:pPr>
            <w:r>
              <w:rPr>
                <w:rFonts w:hint="eastAsia"/>
                <w:color w:val="000000"/>
                <w:sz w:val="24"/>
                <w:szCs w:val="24"/>
              </w:rPr>
              <w:t>3、完善可靠的安全保护措施和工作状态指示（短路、过载、直流和过热保护，变压器过热保护），让用户放心使用；</w:t>
            </w:r>
          </w:p>
          <w:p>
            <w:pPr>
              <w:widowControl/>
              <w:jc w:val="left"/>
              <w:rPr>
                <w:color w:val="000000"/>
                <w:sz w:val="24"/>
                <w:szCs w:val="24"/>
              </w:rPr>
            </w:pPr>
            <w:r>
              <w:rPr>
                <w:rFonts w:hint="eastAsia"/>
                <w:color w:val="000000"/>
                <w:sz w:val="24"/>
                <w:szCs w:val="24"/>
              </w:rPr>
              <w:t xml:space="preserve">4、智能削峰限幅器，控制功率模块及扬声器系统在安全范围内工作； </w:t>
            </w:r>
          </w:p>
          <w:p>
            <w:pPr>
              <w:widowControl/>
              <w:jc w:val="left"/>
              <w:rPr>
                <w:color w:val="000000"/>
                <w:sz w:val="24"/>
                <w:szCs w:val="24"/>
              </w:rPr>
            </w:pPr>
            <w:r>
              <w:rPr>
                <w:rFonts w:hint="eastAsia"/>
                <w:color w:val="000000"/>
                <w:sz w:val="24"/>
                <w:szCs w:val="24"/>
              </w:rPr>
              <w:t xml:space="preserve">5、输出功率:立体声/并联8Ω:350W*2.立体声/并联4Ω:530W*2.桥接8Ω :1060W  </w:t>
            </w:r>
          </w:p>
          <w:p>
            <w:pPr>
              <w:widowControl/>
              <w:jc w:val="left"/>
              <w:rPr>
                <w:color w:val="000000"/>
                <w:sz w:val="24"/>
                <w:szCs w:val="24"/>
              </w:rPr>
            </w:pPr>
            <w:r>
              <w:rPr>
                <w:rFonts w:hint="eastAsia"/>
                <w:color w:val="000000"/>
                <w:sz w:val="24"/>
                <w:szCs w:val="24"/>
              </w:rPr>
              <w:t>6、信噪比:≥90dB、频响:20Hz-20KHz(+0dB/-2dB)；</w:t>
            </w:r>
          </w:p>
          <w:p>
            <w:pPr>
              <w:widowControl/>
              <w:jc w:val="left"/>
              <w:rPr>
                <w:rFonts w:hint="eastAsia" w:ascii="宋体" w:cs="宋体"/>
                <w:color w:val="000000"/>
                <w:kern w:val="0"/>
                <w:sz w:val="24"/>
                <w:szCs w:val="24"/>
                <w:lang w:bidi="ar-SA"/>
              </w:rPr>
            </w:pPr>
            <w:r>
              <w:rPr>
                <w:rFonts w:hint="eastAsia"/>
                <w:color w:val="000000"/>
                <w:sz w:val="24"/>
                <w:szCs w:val="24"/>
              </w:rPr>
              <w:t>7、分离度:≥80dB、失真度:≤0.05%；</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2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台</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2</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专业音箱</w:t>
            </w:r>
          </w:p>
        </w:tc>
        <w:tc>
          <w:tcPr>
            <w:tcW w:w="5413" w:type="dxa"/>
            <w:noWrap w:val="0"/>
            <w:vAlign w:val="center"/>
          </w:tcPr>
          <w:p>
            <w:pPr>
              <w:widowControl/>
              <w:jc w:val="left"/>
              <w:rPr>
                <w:color w:val="000000"/>
                <w:sz w:val="24"/>
                <w:szCs w:val="24"/>
              </w:rPr>
            </w:pPr>
            <w:r>
              <w:rPr>
                <w:rFonts w:hint="eastAsia"/>
                <w:color w:val="000000"/>
                <w:sz w:val="24"/>
                <w:szCs w:val="24"/>
              </w:rPr>
              <w:t>1、阻抗：8Ω±10%，频响：65Hz~20KHz；</w:t>
            </w:r>
          </w:p>
          <w:p>
            <w:pPr>
              <w:widowControl/>
              <w:jc w:val="left"/>
              <w:rPr>
                <w:color w:val="000000"/>
                <w:sz w:val="24"/>
                <w:szCs w:val="24"/>
              </w:rPr>
            </w:pPr>
            <w:r>
              <w:rPr>
                <w:rFonts w:hint="eastAsia"/>
                <w:color w:val="000000"/>
                <w:sz w:val="24"/>
                <w:szCs w:val="24"/>
              </w:rPr>
              <w:t>2、额定功率：150W±10%，灵敏度：≥95dB/W/M，覆盖角度：≥(H)80°(V)60°；</w:t>
            </w:r>
          </w:p>
          <w:p>
            <w:pPr>
              <w:widowControl/>
              <w:jc w:val="left"/>
              <w:rPr>
                <w:rFonts w:hint="eastAsia" w:ascii="宋体" w:cs="宋体"/>
                <w:color w:val="000000"/>
                <w:kern w:val="0"/>
                <w:sz w:val="24"/>
                <w:szCs w:val="24"/>
                <w:lang w:bidi="ar-SA"/>
              </w:rPr>
            </w:pPr>
            <w:r>
              <w:rPr>
                <w:rFonts w:hint="eastAsia"/>
                <w:color w:val="000000"/>
                <w:sz w:val="24"/>
                <w:szCs w:val="24"/>
              </w:rPr>
              <w:t>3、高音：3"锥形高音单元≥2个，低音：8"低音≥1个；</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4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只</w:t>
            </w:r>
          </w:p>
        </w:tc>
        <w:tc>
          <w:tcPr>
            <w:tcW w:w="1590" w:type="dxa"/>
            <w:noWrap w:val="0"/>
            <w:vAlign w:val="bottom"/>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3</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支架</w:t>
            </w:r>
          </w:p>
        </w:tc>
        <w:tc>
          <w:tcPr>
            <w:tcW w:w="5413" w:type="dxa"/>
            <w:noWrap w:val="0"/>
            <w:vAlign w:val="center"/>
          </w:tcPr>
          <w:p>
            <w:pPr>
              <w:widowControl/>
              <w:jc w:val="left"/>
              <w:rPr>
                <w:rFonts w:hint="eastAsia" w:ascii="宋体" w:cs="宋体"/>
                <w:color w:val="000000"/>
                <w:kern w:val="0"/>
                <w:sz w:val="24"/>
                <w:szCs w:val="24"/>
                <w:lang w:bidi="ar-SA"/>
              </w:rPr>
            </w:pPr>
            <w:r>
              <w:rPr>
                <w:rFonts w:hint="eastAsia"/>
                <w:color w:val="000000"/>
                <w:sz w:val="24"/>
                <w:szCs w:val="24"/>
              </w:rPr>
              <w:t>定制</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4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只</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4</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调音台</w:t>
            </w:r>
          </w:p>
        </w:tc>
        <w:tc>
          <w:tcPr>
            <w:tcW w:w="5413" w:type="dxa"/>
            <w:noWrap w:val="0"/>
            <w:vAlign w:val="center"/>
          </w:tcPr>
          <w:p>
            <w:pPr>
              <w:widowControl/>
              <w:jc w:val="left"/>
              <w:rPr>
                <w:rFonts w:hint="eastAsia" w:ascii="宋体" w:cs="宋体"/>
                <w:color w:val="000000"/>
                <w:kern w:val="0"/>
                <w:sz w:val="24"/>
                <w:szCs w:val="24"/>
                <w:lang w:bidi="ar-SA"/>
              </w:rPr>
            </w:pPr>
            <w:r>
              <w:rPr>
                <w:rFonts w:hint="eastAsia"/>
                <w:color w:val="000000"/>
                <w:sz w:val="24"/>
                <w:szCs w:val="24"/>
              </w:rPr>
              <w:t>1、支持≥8路麦克风输入兼容6路线路输入接口，支持≥2路立体声输入接口，≥4路RCA输入，话筒接口幻象电源：+48V；</w:t>
            </w:r>
            <w:r>
              <w:rPr>
                <w:rFonts w:hint="eastAsia"/>
                <w:color w:val="000000"/>
                <w:sz w:val="24"/>
                <w:szCs w:val="24"/>
              </w:rPr>
              <w:br w:type="textWrapping"/>
            </w:r>
            <w:r>
              <w:rPr>
                <w:rFonts w:hint="eastAsia"/>
                <w:color w:val="000000"/>
                <w:sz w:val="24"/>
                <w:szCs w:val="24"/>
              </w:rPr>
              <w:t>2、具有≥2组立体主输出、≥4路编组输出、≥4路辅助输出、≥1组立体声监听输出、≥1个耳机监听输出、≥2个效果输出、≥1组主混音断点插入、≥6个断点插入；</w:t>
            </w:r>
            <w:r>
              <w:rPr>
                <w:rFonts w:hint="eastAsia"/>
                <w:color w:val="000000"/>
                <w:sz w:val="24"/>
                <w:szCs w:val="24"/>
              </w:rPr>
              <w:br w:type="textWrapping"/>
            </w:r>
            <w:r>
              <w:rPr>
                <w:rFonts w:hint="eastAsia"/>
                <w:color w:val="000000"/>
                <w:sz w:val="24"/>
                <w:szCs w:val="24"/>
              </w:rPr>
              <w:t>3、内置24位DSP效果器，提供100种预设效果；</w:t>
            </w:r>
            <w:r>
              <w:rPr>
                <w:rFonts w:hint="eastAsia"/>
                <w:color w:val="000000"/>
                <w:sz w:val="24"/>
                <w:szCs w:val="24"/>
              </w:rPr>
              <w:br w:type="textWrapping"/>
            </w:r>
            <w:r>
              <w:rPr>
                <w:rFonts w:hint="eastAsia"/>
                <w:color w:val="000000"/>
                <w:sz w:val="24"/>
                <w:szCs w:val="24"/>
              </w:rPr>
              <w:t>4、具备13个60mm行程的高精密碳膜推子；</w:t>
            </w:r>
            <w:r>
              <w:rPr>
                <w:rFonts w:hint="eastAsia"/>
                <w:color w:val="000000"/>
                <w:sz w:val="24"/>
                <w:szCs w:val="24"/>
              </w:rPr>
              <w:br w:type="textWrapping"/>
            </w:r>
            <w:r>
              <w:rPr>
                <w:rFonts w:hint="eastAsia"/>
                <w:color w:val="000000"/>
                <w:sz w:val="24"/>
                <w:szCs w:val="24"/>
              </w:rPr>
              <w:t>5、内置USB声卡模块，支持连接电脑进行音乐播放和声音录音；内置MP3播放器，支持1个USB接口接U盘播放音乐；</w:t>
            </w:r>
            <w:r>
              <w:rPr>
                <w:rFonts w:hint="eastAsia"/>
                <w:color w:val="000000"/>
                <w:sz w:val="24"/>
                <w:szCs w:val="24"/>
              </w:rPr>
              <w:br w:type="textWrapping"/>
            </w:r>
            <w:r>
              <w:rPr>
                <w:rFonts w:hint="eastAsia"/>
                <w:color w:val="000000"/>
                <w:sz w:val="24"/>
                <w:szCs w:val="24"/>
              </w:rPr>
              <w:t>6、频率响应：20Hz-20kHz，±2dB；失真度：&lt;0.03% at+0dB,22Hz-22KHz A-weighted；灵敏度；+21dB~-30dB；信噪比：&lt;-100dBr A-weighted。</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台</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5</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抑制器</w:t>
            </w:r>
          </w:p>
        </w:tc>
        <w:tc>
          <w:tcPr>
            <w:tcW w:w="5413" w:type="dxa"/>
            <w:noWrap w:val="0"/>
            <w:vAlign w:val="center"/>
          </w:tcPr>
          <w:p>
            <w:pPr>
              <w:widowControl/>
              <w:jc w:val="left"/>
              <w:rPr>
                <w:rFonts w:hint="eastAsia" w:ascii="宋体" w:cs="宋体"/>
                <w:color w:val="000000"/>
                <w:kern w:val="0"/>
                <w:sz w:val="24"/>
                <w:szCs w:val="24"/>
                <w:lang w:bidi="ar-SA"/>
              </w:rPr>
            </w:pPr>
            <w:r>
              <w:rPr>
                <w:rFonts w:hint="eastAsia"/>
                <w:color w:val="000000"/>
                <w:sz w:val="24"/>
                <w:szCs w:val="24"/>
              </w:rPr>
              <w:t>1、48kHz采样频率，32-bit DPS处理器（300兆主频），24-bitA/D及D/A转换；</w:t>
            </w:r>
            <w:r>
              <w:rPr>
                <w:rFonts w:hint="eastAsia"/>
                <w:color w:val="000000"/>
                <w:sz w:val="24"/>
                <w:szCs w:val="24"/>
              </w:rPr>
              <w:br w:type="textWrapping"/>
            </w:r>
            <w:r>
              <w:rPr>
                <w:rFonts w:hint="eastAsia"/>
                <w:color w:val="000000"/>
                <w:sz w:val="24"/>
                <w:szCs w:val="24"/>
              </w:rPr>
              <w:t>2、5档全自动移频模式选择，适用于各种场景及麦克风类型；</w:t>
            </w:r>
            <w:r>
              <w:rPr>
                <w:rFonts w:hint="eastAsia"/>
                <w:color w:val="000000"/>
                <w:sz w:val="24"/>
                <w:szCs w:val="24"/>
              </w:rPr>
              <w:br w:type="textWrapping"/>
            </w:r>
            <w:r>
              <w:rPr>
                <w:rFonts w:hint="eastAsia"/>
                <w:color w:val="000000"/>
                <w:sz w:val="24"/>
                <w:szCs w:val="24"/>
              </w:rPr>
              <w:t>3、采用≥22英寸IPS真彩显示屏，分辨率≥320*240。支持中/英文菜单显示；</w:t>
            </w:r>
            <w:r>
              <w:rPr>
                <w:rFonts w:hint="eastAsia"/>
                <w:color w:val="000000"/>
                <w:sz w:val="24"/>
                <w:szCs w:val="24"/>
              </w:rPr>
              <w:br w:type="textWrapping"/>
            </w:r>
            <w:r>
              <w:rPr>
                <w:rFonts w:hint="eastAsia"/>
                <w:color w:val="000000"/>
                <w:sz w:val="24"/>
                <w:szCs w:val="24"/>
              </w:rPr>
              <w:t>4、48个陷波器状态LED指示灯实时显示，每通道12个静态+12个动态陷波器；</w:t>
            </w:r>
            <w:r>
              <w:rPr>
                <w:rFonts w:hint="eastAsia"/>
                <w:color w:val="000000"/>
                <w:sz w:val="24"/>
                <w:szCs w:val="24"/>
              </w:rPr>
              <w:br w:type="textWrapping"/>
            </w:r>
            <w:r>
              <w:rPr>
                <w:rFonts w:hint="eastAsia"/>
                <w:color w:val="000000"/>
                <w:sz w:val="24"/>
                <w:szCs w:val="24"/>
              </w:rPr>
              <w:t>5、采用单键飞梭快捷操作，快速实现模式、直通、锁定及中英文选择功能；</w:t>
            </w:r>
            <w:r>
              <w:rPr>
                <w:rFonts w:hint="eastAsia"/>
                <w:color w:val="000000"/>
                <w:sz w:val="24"/>
                <w:szCs w:val="24"/>
              </w:rPr>
              <w:br w:type="textWrapping"/>
            </w:r>
            <w:r>
              <w:rPr>
                <w:rFonts w:hint="eastAsia"/>
                <w:color w:val="000000"/>
                <w:sz w:val="24"/>
                <w:szCs w:val="24"/>
              </w:rPr>
              <w:t>6、移频器±10Hz可调（1Hz步进），陷波器增益、Q值、数量可调；</w:t>
            </w:r>
            <w:r>
              <w:rPr>
                <w:rFonts w:hint="eastAsia"/>
                <w:color w:val="000000"/>
                <w:sz w:val="24"/>
                <w:szCs w:val="24"/>
              </w:rPr>
              <w:br w:type="textWrapping"/>
            </w:r>
            <w:r>
              <w:rPr>
                <w:rFonts w:hint="eastAsia"/>
                <w:color w:val="000000"/>
                <w:sz w:val="24"/>
                <w:szCs w:val="24"/>
              </w:rPr>
              <w:t>7、独立每通道增益、噪声门、压限器、移频、陷波、高低通、7段PEQ功能设置；</w:t>
            </w:r>
            <w:r>
              <w:rPr>
                <w:rFonts w:hint="eastAsia"/>
                <w:color w:val="000000"/>
                <w:sz w:val="24"/>
                <w:szCs w:val="24"/>
              </w:rPr>
              <w:br w:type="textWrapping"/>
            </w:r>
            <w:r>
              <w:rPr>
                <w:rFonts w:hint="eastAsia"/>
                <w:color w:val="000000"/>
                <w:sz w:val="24"/>
                <w:szCs w:val="24"/>
              </w:rPr>
              <w:t>8、提供USB和RS-485通讯接口，连接PC上位机及中控设备；</w:t>
            </w:r>
            <w:r>
              <w:rPr>
                <w:rFonts w:hint="eastAsia"/>
                <w:color w:val="000000"/>
                <w:sz w:val="24"/>
                <w:szCs w:val="24"/>
              </w:rPr>
              <w:br w:type="textWrapping"/>
            </w:r>
            <w:r>
              <w:rPr>
                <w:rFonts w:hint="eastAsia"/>
                <w:color w:val="000000"/>
                <w:sz w:val="24"/>
                <w:szCs w:val="24"/>
              </w:rPr>
              <w:t>9、通过PC上位机可任意编辑5档预设模式，支持模式存档及EQ存档导入导出。</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台</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6</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音频处理器</w:t>
            </w:r>
          </w:p>
        </w:tc>
        <w:tc>
          <w:tcPr>
            <w:tcW w:w="5413" w:type="dxa"/>
            <w:noWrap w:val="0"/>
            <w:vAlign w:val="center"/>
          </w:tcPr>
          <w:p>
            <w:pPr>
              <w:rPr>
                <w:sz w:val="24"/>
                <w:szCs w:val="24"/>
              </w:rPr>
            </w:pPr>
            <w:r>
              <w:rPr>
                <w:rFonts w:hint="eastAsia"/>
                <w:sz w:val="24"/>
                <w:szCs w:val="24"/>
              </w:rPr>
              <w:t>1、数字音频处理器支持≥4路平衡式话筒/线路输入通道，采用裸线接口端子，平衡接法；支持≥4路平衡式线路输出，采用裸线接口端子，平衡接法；</w:t>
            </w:r>
            <w:r>
              <w:rPr>
                <w:rFonts w:hint="eastAsia"/>
                <w:sz w:val="24"/>
                <w:szCs w:val="24"/>
              </w:rPr>
              <w:br w:type="textWrapping"/>
            </w:r>
            <w:r>
              <w:rPr>
                <w:rFonts w:hint="eastAsia"/>
                <w:sz w:val="24"/>
                <w:szCs w:val="24"/>
              </w:rPr>
              <w:t>2、输入通道支持前级放大、信号发生器、扩展器、压缩器、5段参量均衡、AM自动混音功能、AFC自适应反馈消除、AEC回声消除、ANC噪声消除，输出通道支持31段参量均衡器、延时器、分频器、高低通滤波器、限幅器；</w:t>
            </w:r>
            <w:r>
              <w:rPr>
                <w:rFonts w:hint="eastAsia"/>
                <w:sz w:val="24"/>
                <w:szCs w:val="24"/>
              </w:rPr>
              <w:br w:type="textWrapping"/>
            </w:r>
            <w:r>
              <w:rPr>
                <w:sz w:val="24"/>
                <w:szCs w:val="24"/>
              </w:rPr>
              <w:t>3</w:t>
            </w:r>
            <w:r>
              <w:rPr>
                <w:rFonts w:hint="eastAsia"/>
                <w:sz w:val="24"/>
                <w:szCs w:val="24"/>
              </w:rPr>
              <w:t>、支持24bit/48KHz卓越的高品质声音，支持输入通道48V幻象供电，频率响应：20Hz-20KHz，总谐波失真＜0.002%@1KHz,4dBu，数/模动态范围(A-计权)：120dB；最大输出电平≥+24dBu，最大输入电平≥+24dBu；</w:t>
            </w:r>
            <w:r>
              <w:rPr>
                <w:rFonts w:hint="eastAsia"/>
                <w:sz w:val="24"/>
                <w:szCs w:val="24"/>
              </w:rPr>
              <w:br w:type="textWrapping"/>
            </w:r>
            <w:r>
              <w:rPr>
                <w:sz w:val="24"/>
                <w:szCs w:val="24"/>
              </w:rPr>
              <w:t>4</w:t>
            </w:r>
            <w:r>
              <w:rPr>
                <w:rFonts w:hint="eastAsia"/>
                <w:sz w:val="24"/>
                <w:szCs w:val="24"/>
              </w:rPr>
              <w:t>、支持通过ipad或iPhone或安卓手机APP软件进行操作控制，面板具备USB接口，支持多媒体存储，可进行播放或存储录播，配置双向RS-232接口，可用于控制外部设备；配置RS-485接口，可实现自动摄像跟踪功能。配置8通道可编程GPIO控制接口（可自定义输入输出）；</w:t>
            </w:r>
            <w:r>
              <w:rPr>
                <w:rFonts w:hint="eastAsia"/>
                <w:sz w:val="24"/>
                <w:szCs w:val="24"/>
              </w:rPr>
              <w:br w:type="textWrapping"/>
            </w:r>
            <w:r>
              <w:rPr>
                <w:sz w:val="24"/>
                <w:szCs w:val="24"/>
              </w:rPr>
              <w:t>5</w:t>
            </w:r>
            <w:r>
              <w:rPr>
                <w:rFonts w:hint="eastAsia"/>
                <w:sz w:val="24"/>
                <w:szCs w:val="24"/>
              </w:rPr>
              <w:t>、支持断电自动保护记忆功能。支持通道拷贝、粘贴、联控功能。支持通过浏览器访问设备，下载自带管理控制软件；软件界面直观、图形化，可工作在XP/Windows7.8.10等系统环境下。</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台</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7</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无线话筒</w:t>
            </w:r>
          </w:p>
        </w:tc>
        <w:tc>
          <w:tcPr>
            <w:tcW w:w="5413" w:type="dxa"/>
            <w:noWrap w:val="0"/>
            <w:vAlign w:val="center"/>
          </w:tcPr>
          <w:p>
            <w:pPr>
              <w:widowControl/>
              <w:jc w:val="left"/>
              <w:rPr>
                <w:color w:val="000000"/>
                <w:sz w:val="24"/>
                <w:szCs w:val="24"/>
              </w:rPr>
            </w:pPr>
            <w:r>
              <w:rPr>
                <w:rFonts w:hint="eastAsia"/>
                <w:color w:val="000000"/>
                <w:sz w:val="24"/>
                <w:szCs w:val="24"/>
              </w:rPr>
              <w:t>1、采用UHF超高频段双真分集接收，并采用PLL锁相环多信道频率合成技术；V/A显示屏在任何角度观察字体清晰同时显示信道号与工作频率。红外对频功能，能方便、快捷的使发射机与接收机频率同步，超强的抗干扰能力，能有效抑制由外部带来的噪音干扰及同频干扰；</w:t>
            </w:r>
          </w:p>
          <w:p>
            <w:pPr>
              <w:widowControl/>
              <w:jc w:val="left"/>
              <w:rPr>
                <w:color w:val="000000"/>
                <w:sz w:val="24"/>
                <w:szCs w:val="24"/>
              </w:rPr>
            </w:pPr>
            <w:r>
              <w:rPr>
                <w:rFonts w:hint="eastAsia"/>
                <w:color w:val="000000"/>
                <w:sz w:val="24"/>
                <w:szCs w:val="24"/>
              </w:rPr>
              <w:t>2、带8级射频电平显示，8级音频电平显示，频道菜单显示，静音显示；具有SCAN 自动扫频功能，使用前按SET功能键自动找一个环境最干净的频点处停下来，此频率作为接收机的使用频率；</w:t>
            </w:r>
          </w:p>
          <w:p>
            <w:pPr>
              <w:widowControl/>
              <w:jc w:val="left"/>
              <w:rPr>
                <w:color w:val="000000"/>
                <w:sz w:val="24"/>
                <w:szCs w:val="24"/>
              </w:rPr>
            </w:pPr>
            <w:r>
              <w:rPr>
                <w:rFonts w:hint="eastAsia"/>
                <w:color w:val="000000"/>
                <w:sz w:val="24"/>
                <w:szCs w:val="24"/>
              </w:rPr>
              <w:t>3、平衡和非平衡两种选择输出端口，适应不同的设备连接需求；</w:t>
            </w:r>
          </w:p>
          <w:p>
            <w:pPr>
              <w:widowControl/>
              <w:jc w:val="left"/>
              <w:rPr>
                <w:rFonts w:hint="eastAsia" w:ascii="宋体" w:cs="宋体"/>
                <w:color w:val="000000"/>
                <w:kern w:val="0"/>
                <w:sz w:val="24"/>
                <w:szCs w:val="24"/>
                <w:lang w:bidi="ar-SA"/>
              </w:rPr>
            </w:pPr>
            <w:r>
              <w:rPr>
                <w:rFonts w:hint="eastAsia"/>
                <w:color w:val="000000"/>
                <w:sz w:val="24"/>
                <w:szCs w:val="24"/>
              </w:rPr>
              <w:t>4、频率指标:470-830MHz，调制方式:宽带FM，提供各200个可调频率，共500个信道选择，真正分集式接收,有效避免断频现象和延长接收距离。工作距离约100m；中频丰富，声音且有磁性感和混厚感，属人声话筒音持的精华。</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套</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8</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话筒呼叫控制嵌入软件</w:t>
            </w:r>
          </w:p>
        </w:tc>
        <w:tc>
          <w:tcPr>
            <w:tcW w:w="5413" w:type="dxa"/>
            <w:noWrap w:val="0"/>
            <w:vAlign w:val="center"/>
          </w:tcPr>
          <w:p>
            <w:pPr>
              <w:widowControl/>
              <w:jc w:val="left"/>
              <w:rPr>
                <w:rFonts w:hint="eastAsia" w:ascii="宋体" w:cs="宋体"/>
                <w:color w:val="000000"/>
                <w:kern w:val="0"/>
                <w:sz w:val="24"/>
                <w:szCs w:val="24"/>
                <w:lang w:bidi="ar-SA"/>
              </w:rPr>
            </w:pPr>
            <w:r>
              <w:rPr>
                <w:rFonts w:hint="eastAsia"/>
                <w:color w:val="000000"/>
                <w:sz w:val="24"/>
                <w:szCs w:val="24"/>
              </w:rPr>
              <w:t>1、软件内嵌于无线话筒系统设备，话筒呼叫控制功能；</w:t>
            </w:r>
            <w:r>
              <w:rPr>
                <w:rFonts w:hint="eastAsia"/>
                <w:color w:val="000000"/>
                <w:sz w:val="24"/>
                <w:szCs w:val="24"/>
              </w:rPr>
              <w:br w:type="textWrapping"/>
            </w:r>
            <w:r>
              <w:rPr>
                <w:rFonts w:hint="eastAsia"/>
                <w:color w:val="000000"/>
                <w:sz w:val="24"/>
                <w:szCs w:val="24"/>
              </w:rPr>
              <w:t>2、采用UHF超高频段双真分集接收，并采用PLL锁相环多信道频率合成技术；</w:t>
            </w:r>
            <w:r>
              <w:rPr>
                <w:rFonts w:hint="eastAsia"/>
                <w:color w:val="000000"/>
                <w:sz w:val="24"/>
                <w:szCs w:val="24"/>
              </w:rPr>
              <w:br w:type="textWrapping"/>
            </w:r>
            <w:r>
              <w:rPr>
                <w:rFonts w:hint="eastAsia"/>
                <w:color w:val="000000"/>
                <w:sz w:val="24"/>
                <w:szCs w:val="24"/>
              </w:rPr>
              <w:t>3、支持二次变频超外差接收机方式；</w:t>
            </w:r>
            <w:r>
              <w:rPr>
                <w:rFonts w:hint="eastAsia"/>
                <w:color w:val="000000"/>
                <w:sz w:val="24"/>
                <w:szCs w:val="24"/>
              </w:rPr>
              <w:br w:type="textWrapping"/>
            </w:r>
            <w:r>
              <w:rPr>
                <w:rFonts w:hint="eastAsia"/>
                <w:color w:val="000000"/>
                <w:sz w:val="24"/>
                <w:szCs w:val="24"/>
              </w:rPr>
              <w:t>4、支持单独调节音量；</w:t>
            </w:r>
            <w:r>
              <w:rPr>
                <w:rFonts w:hint="eastAsia"/>
                <w:color w:val="000000"/>
                <w:sz w:val="24"/>
                <w:szCs w:val="24"/>
              </w:rPr>
              <w:br w:type="textWrapping"/>
            </w:r>
            <w:r>
              <w:rPr>
                <w:rFonts w:hint="eastAsia"/>
                <w:color w:val="000000"/>
                <w:sz w:val="24"/>
                <w:szCs w:val="24"/>
              </w:rPr>
              <w:t>5、支持信道选择、频率可调、可设置主机与话筒配对。</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套</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9</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电源时序器</w:t>
            </w:r>
          </w:p>
        </w:tc>
        <w:tc>
          <w:tcPr>
            <w:tcW w:w="5413" w:type="dxa"/>
            <w:noWrap w:val="0"/>
            <w:vAlign w:val="center"/>
          </w:tcPr>
          <w:p>
            <w:pPr>
              <w:widowControl/>
              <w:jc w:val="left"/>
              <w:rPr>
                <w:rFonts w:hint="eastAsia" w:ascii="宋体" w:cs="宋体"/>
                <w:color w:val="000000"/>
                <w:kern w:val="0"/>
                <w:sz w:val="24"/>
                <w:szCs w:val="24"/>
                <w:lang w:bidi="ar-SA"/>
              </w:rPr>
            </w:pPr>
            <w:r>
              <w:rPr>
                <w:rFonts w:hint="eastAsia"/>
                <w:color w:val="000000"/>
                <w:sz w:val="24"/>
                <w:szCs w:val="24"/>
              </w:rPr>
              <w:t>1、≥8通道电源时序打开/关闭；</w:t>
            </w:r>
            <w:r>
              <w:rPr>
                <w:rFonts w:hint="eastAsia"/>
                <w:color w:val="000000"/>
                <w:sz w:val="24"/>
                <w:szCs w:val="24"/>
              </w:rPr>
              <w:br w:type="textWrapping"/>
            </w:r>
            <w:r>
              <w:rPr>
                <w:rFonts w:hint="eastAsia"/>
                <w:color w:val="000000"/>
                <w:sz w:val="24"/>
                <w:szCs w:val="24"/>
              </w:rPr>
              <w:t>2、远程控制（上电+24V直流信号）8通道电源时序打开/关闭，当电源开关锁处于off位置时有效；支持配置CH1和CH2通道为受控或不受控状态；</w:t>
            </w:r>
            <w:r>
              <w:rPr>
                <w:rFonts w:hint="eastAsia"/>
                <w:color w:val="000000"/>
                <w:sz w:val="24"/>
                <w:szCs w:val="24"/>
              </w:rPr>
              <w:br w:type="textWrapping"/>
            </w:r>
            <w:r>
              <w:rPr>
                <w:rFonts w:hint="eastAsia"/>
                <w:color w:val="000000"/>
                <w:sz w:val="24"/>
                <w:szCs w:val="24"/>
              </w:rPr>
              <w:t>3、当远程控制有效时同时控制后板ALARM（报警）端口导通，起到级联控制ALARM（报警）功能；</w:t>
            </w:r>
            <w:r>
              <w:rPr>
                <w:rFonts w:hint="eastAsia"/>
                <w:color w:val="000000"/>
                <w:sz w:val="24"/>
                <w:szCs w:val="24"/>
              </w:rPr>
              <w:br w:type="textWrapping"/>
            </w:r>
            <w:r>
              <w:rPr>
                <w:rFonts w:hint="eastAsia"/>
                <w:color w:val="000000"/>
                <w:sz w:val="24"/>
                <w:szCs w:val="24"/>
              </w:rPr>
              <w:t>4、单个通道最大负载功率2200W，所有通道负载总功率达6000W。</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台</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076" w:type="dxa"/>
            <w:gridSpan w:val="3"/>
            <w:noWrap w:val="0"/>
            <w:vAlign w:val="center"/>
          </w:tcPr>
          <w:p>
            <w:pPr>
              <w:widowControl/>
              <w:jc w:val="left"/>
              <w:rPr>
                <w:rFonts w:hint="eastAsia" w:ascii="宋体" w:cs="宋体"/>
                <w:b/>
                <w:bCs/>
                <w:color w:val="000000"/>
                <w:kern w:val="0"/>
                <w:sz w:val="24"/>
                <w:szCs w:val="24"/>
                <w:lang w:bidi="ar-SA"/>
              </w:rPr>
            </w:pPr>
            <w:r>
              <w:rPr>
                <w:rFonts w:hint="eastAsia" w:ascii="宋体" w:cs="宋体"/>
                <w:b/>
                <w:bCs/>
                <w:color w:val="000000"/>
                <w:kern w:val="0"/>
                <w:sz w:val="24"/>
                <w:szCs w:val="24"/>
                <w:lang w:bidi="ar-SA"/>
              </w:rPr>
              <w:t>六）四楼应急指挥大厅会议系统</w:t>
            </w:r>
          </w:p>
        </w:tc>
        <w:tc>
          <w:tcPr>
            <w:tcW w:w="640" w:type="dxa"/>
            <w:noWrap w:val="0"/>
            <w:vAlign w:val="center"/>
          </w:tcPr>
          <w:p>
            <w:pPr>
              <w:widowControl/>
              <w:jc w:val="center"/>
              <w:rPr>
                <w:rFonts w:hint="eastAsia" w:ascii="宋体" w:cs="宋体"/>
                <w:b/>
                <w:bCs/>
                <w:color w:val="000000"/>
                <w:kern w:val="0"/>
                <w:sz w:val="24"/>
                <w:szCs w:val="24"/>
                <w:lang w:bidi="ar-SA"/>
              </w:rPr>
            </w:pPr>
            <w:r>
              <w:rPr>
                <w:rFonts w:hint="eastAsia" w:ascii="宋体" w:cs="宋体"/>
                <w:b/>
                <w:bCs/>
                <w:color w:val="000000"/>
                <w:kern w:val="0"/>
                <w:sz w:val="24"/>
                <w:szCs w:val="24"/>
                <w:lang w:bidi="ar-SA"/>
              </w:rPr>
              <w:t>　</w:t>
            </w:r>
          </w:p>
        </w:tc>
        <w:tc>
          <w:tcPr>
            <w:tcW w:w="656" w:type="dxa"/>
            <w:noWrap w:val="0"/>
            <w:vAlign w:val="center"/>
          </w:tcPr>
          <w:p>
            <w:pPr>
              <w:widowControl/>
              <w:jc w:val="left"/>
              <w:rPr>
                <w:rFonts w:hint="eastAsia" w:ascii="宋体" w:cs="宋体"/>
                <w:b/>
                <w:bCs/>
                <w:color w:val="000000"/>
                <w:kern w:val="0"/>
                <w:sz w:val="24"/>
                <w:szCs w:val="24"/>
                <w:lang w:bidi="ar-SA"/>
              </w:rPr>
            </w:pPr>
            <w:r>
              <w:rPr>
                <w:rFonts w:hint="eastAsia" w:ascii="宋体" w:cs="宋体"/>
                <w:b/>
                <w:bCs/>
                <w:color w:val="000000"/>
                <w:kern w:val="0"/>
                <w:sz w:val="24"/>
                <w:szCs w:val="24"/>
                <w:lang w:bidi="ar-SA"/>
              </w:rPr>
              <w:t>　</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1</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会议系统主机</w:t>
            </w:r>
          </w:p>
        </w:tc>
        <w:tc>
          <w:tcPr>
            <w:tcW w:w="5413" w:type="dxa"/>
            <w:noWrap w:val="0"/>
            <w:vAlign w:val="center"/>
          </w:tcPr>
          <w:p>
            <w:pPr>
              <w:widowControl/>
              <w:jc w:val="left"/>
              <w:rPr>
                <w:rFonts w:hint="eastAsia" w:ascii="宋体" w:cs="宋体"/>
                <w:color w:val="000000"/>
                <w:kern w:val="0"/>
                <w:sz w:val="24"/>
                <w:szCs w:val="24"/>
                <w:lang w:bidi="ar-SA"/>
              </w:rPr>
            </w:pPr>
            <w:r>
              <w:rPr>
                <w:rFonts w:hint="eastAsia"/>
                <w:color w:val="000000"/>
                <w:sz w:val="24"/>
                <w:szCs w:val="24"/>
              </w:rPr>
              <w:t>1、采用5GHz的通信频段，拥有更强的抗干扰能力，提供更大的带宽和传输速度，并不受移动电话和其他蓝牙设备干扰，确保实现最佳的信号接收。采用128位AES加密技术，支持WPA/WPA2无线安全技术，防止窃听和非授权访问，提供更高的会议系统机密性；</w:t>
            </w:r>
            <w:r>
              <w:rPr>
                <w:rFonts w:hint="eastAsia"/>
                <w:color w:val="000000"/>
                <w:sz w:val="24"/>
                <w:szCs w:val="24"/>
              </w:rPr>
              <w:br w:type="textWrapping"/>
            </w:r>
            <w:r>
              <w:rPr>
                <w:rFonts w:hint="eastAsia"/>
                <w:color w:val="000000"/>
                <w:sz w:val="24"/>
                <w:szCs w:val="24"/>
              </w:rPr>
              <w:t>2、内置高性能双CPU处理器，支持8KHz至96KHz范围内的采样速率，并支持数字音量控制；</w:t>
            </w:r>
            <w:r>
              <w:rPr>
                <w:rFonts w:hint="eastAsia"/>
                <w:color w:val="000000"/>
                <w:sz w:val="24"/>
                <w:szCs w:val="24"/>
              </w:rPr>
              <w:br w:type="textWrapping"/>
            </w:r>
            <w:r>
              <w:rPr>
                <w:rFonts w:hint="eastAsia"/>
                <w:color w:val="000000"/>
                <w:sz w:val="24"/>
                <w:szCs w:val="24"/>
              </w:rPr>
              <w:t>3、具有≥4.3英寸触摸屏，具有WIFI网络接口，可以通过连接POE网络交换机扩充无线AP数量，提供更大的无线覆盖范围。具有1-4路会议单元输出接口，具有超大系统容量，系统最大支持≥4096台有线会议单元，≥300台无线会议单元。系统最大支持同时开≥8个有线话筒和≥6个无线话筒；</w:t>
            </w:r>
            <w:r>
              <w:rPr>
                <w:rFonts w:hint="eastAsia"/>
                <w:color w:val="000000"/>
                <w:sz w:val="24"/>
                <w:szCs w:val="24"/>
              </w:rPr>
              <w:br w:type="textWrapping"/>
            </w:r>
            <w:r>
              <w:rPr>
                <w:rFonts w:hint="eastAsia"/>
                <w:color w:val="000000"/>
                <w:sz w:val="24"/>
                <w:szCs w:val="24"/>
              </w:rPr>
              <w:t>4、支持WiFi会议系统和全数字会议系统同时使用（有线会议单元和WiFi会议单元同时使用）；</w:t>
            </w:r>
            <w:r>
              <w:rPr>
                <w:rFonts w:hint="eastAsia"/>
                <w:color w:val="000000"/>
                <w:sz w:val="24"/>
                <w:szCs w:val="24"/>
              </w:rPr>
              <w:br w:type="textWrapping"/>
            </w:r>
            <w:r>
              <w:rPr>
                <w:rFonts w:hint="eastAsia"/>
                <w:color w:val="000000"/>
                <w:sz w:val="24"/>
                <w:szCs w:val="24"/>
              </w:rPr>
              <w:t>5、★具有一键关机所有无线单元功能。具有1路USB接口，支持插入U盘设备进行录音功能，支持播放背景音乐功能。具有≥两路功放输出接口，可接驳两个定阻音箱（需提供</w:t>
            </w:r>
            <w:r>
              <w:rPr>
                <w:rFonts w:hint="eastAsia"/>
                <w:color w:val="000000"/>
                <w:sz w:val="24"/>
                <w:szCs w:val="24"/>
                <w:lang w:val="en-US" w:eastAsia="zh-Hans"/>
              </w:rPr>
              <w:t>产品功能截图</w:t>
            </w:r>
            <w:r>
              <w:rPr>
                <w:rFonts w:hint="eastAsia"/>
                <w:color w:val="000000"/>
                <w:sz w:val="24"/>
                <w:szCs w:val="24"/>
              </w:rPr>
              <w:t>）；</w:t>
            </w:r>
            <w:r>
              <w:rPr>
                <w:rFonts w:hint="eastAsia"/>
                <w:color w:val="000000"/>
                <w:sz w:val="24"/>
                <w:szCs w:val="24"/>
              </w:rPr>
              <w:br w:type="textWrapping"/>
            </w:r>
            <w:r>
              <w:rPr>
                <w:rFonts w:hint="eastAsia"/>
                <w:color w:val="000000"/>
                <w:sz w:val="24"/>
                <w:szCs w:val="24"/>
              </w:rPr>
              <w:t>6、遵循规范：IEC60914，兼容GBT15381-94标准；支持同声传译功能，支持四种话筒管理模式：FIFO/ NORMAL/VOICE(声控)/APPLY。具有1路EXTENSION 口，可用于连接扩展主机；</w:t>
            </w:r>
            <w:r>
              <w:rPr>
                <w:rFonts w:hint="eastAsia"/>
                <w:color w:val="000000"/>
                <w:sz w:val="24"/>
                <w:szCs w:val="24"/>
              </w:rPr>
              <w:br w:type="textWrapping"/>
            </w:r>
            <w:r>
              <w:rPr>
                <w:rFonts w:hint="eastAsia"/>
                <w:color w:val="000000"/>
                <w:sz w:val="24"/>
                <w:szCs w:val="24"/>
              </w:rPr>
              <w:t>7、★具有≥1路RS-485接口，支持一台摄像机实现摄像跟踪。具有≥1路消防报警联动触发接口，在消防紧急状况下可为会议主机面板触摸屏、单元机屏、PC软件提供火灾报警信息。具有≥1路平衡信号和≥1路非平衡信号输入接口，≥1路平衡信号和≥1路非平衡信号输出接口（提供设备接口图佐证）；</w:t>
            </w:r>
            <w:r>
              <w:rPr>
                <w:rFonts w:hint="eastAsia"/>
                <w:color w:val="000000"/>
                <w:sz w:val="24"/>
                <w:szCs w:val="24"/>
              </w:rPr>
              <w:br w:type="textWrapping"/>
            </w:r>
            <w:r>
              <w:rPr>
                <w:rFonts w:hint="eastAsia"/>
                <w:color w:val="000000"/>
                <w:sz w:val="24"/>
                <w:szCs w:val="24"/>
              </w:rPr>
              <w:t>8、★PC软件端可查看无线单元的电池电量、WiFi信号等信息状态。具有一键关机所有无线单元功能。支持中英文语言界面切换（需提供</w:t>
            </w:r>
            <w:r>
              <w:rPr>
                <w:rFonts w:hint="eastAsia"/>
                <w:color w:val="000000"/>
                <w:sz w:val="24"/>
                <w:szCs w:val="24"/>
                <w:lang w:val="en-US" w:eastAsia="zh-Hans"/>
              </w:rPr>
              <w:t>产品功能截图</w:t>
            </w:r>
            <w:r>
              <w:rPr>
                <w:rFonts w:hint="eastAsia"/>
                <w:color w:val="000000"/>
                <w:sz w:val="24"/>
                <w:szCs w:val="24"/>
              </w:rPr>
              <w:t>）；</w:t>
            </w:r>
            <w:r>
              <w:rPr>
                <w:rFonts w:hint="eastAsia"/>
                <w:color w:val="000000"/>
                <w:sz w:val="24"/>
                <w:szCs w:val="24"/>
              </w:rPr>
              <w:br w:type="textWrapping"/>
            </w:r>
            <w:r>
              <w:rPr>
                <w:rFonts w:hint="eastAsia"/>
                <w:color w:val="000000"/>
                <w:sz w:val="24"/>
                <w:szCs w:val="24"/>
              </w:rPr>
              <w:t>9、具有丰富的会议应用功能，支持投票表决功能、会议签到功能、5段EQ调节功能、广播短消息、茶水申请服务等，支持会议信息导出，满足日常会议应用所需；</w:t>
            </w:r>
            <w:r>
              <w:rPr>
                <w:rFonts w:hint="eastAsia"/>
                <w:color w:val="000000"/>
                <w:sz w:val="24"/>
                <w:szCs w:val="24"/>
              </w:rPr>
              <w:br w:type="textWrapping"/>
            </w:r>
            <w:r>
              <w:rPr>
                <w:rFonts w:hint="eastAsia"/>
                <w:color w:val="000000"/>
                <w:sz w:val="24"/>
                <w:szCs w:val="24"/>
              </w:rPr>
              <w:t>10、支持同声传译功能，系统支持传输15+1的有线同声传译。</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台</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2</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音频传输内嵌软件</w:t>
            </w:r>
          </w:p>
        </w:tc>
        <w:tc>
          <w:tcPr>
            <w:tcW w:w="5413" w:type="dxa"/>
            <w:noWrap w:val="0"/>
            <w:vAlign w:val="center"/>
          </w:tcPr>
          <w:p>
            <w:pPr>
              <w:widowControl/>
              <w:jc w:val="left"/>
              <w:rPr>
                <w:rFonts w:hint="eastAsia" w:ascii="宋体" w:cs="宋体"/>
                <w:color w:val="000000"/>
                <w:kern w:val="0"/>
                <w:sz w:val="24"/>
                <w:szCs w:val="24"/>
                <w:lang w:bidi="ar-SA"/>
              </w:rPr>
            </w:pPr>
            <w:r>
              <w:rPr>
                <w:rFonts w:hint="eastAsia"/>
                <w:color w:val="000000"/>
                <w:sz w:val="24"/>
                <w:szCs w:val="24"/>
              </w:rPr>
              <w:t>1、软件内嵌于会议系统主机设备，应用于对全数字会议系统音频传输软件的管理或控制；</w:t>
            </w:r>
            <w:r>
              <w:rPr>
                <w:rFonts w:hint="eastAsia"/>
                <w:color w:val="000000"/>
                <w:sz w:val="24"/>
                <w:szCs w:val="24"/>
              </w:rPr>
              <w:br w:type="textWrapping"/>
            </w:r>
            <w:r>
              <w:rPr>
                <w:rFonts w:hint="eastAsia"/>
                <w:color w:val="000000"/>
                <w:sz w:val="24"/>
                <w:szCs w:val="24"/>
              </w:rPr>
              <w:t>2、支持中英文语言管理界面，支持同声传译功能，内置DSP音频处理技术，支持EQ均衡调节音频处理能力，支持48KHz采样率音频处理能力，支持话筒管理能力，通过不同的模式限制话筒发言数量，保障会场发言秩序；</w:t>
            </w:r>
            <w:r>
              <w:rPr>
                <w:rFonts w:hint="eastAsia"/>
                <w:color w:val="000000"/>
                <w:sz w:val="24"/>
                <w:szCs w:val="24"/>
              </w:rPr>
              <w:br w:type="textWrapping"/>
            </w:r>
            <w:r>
              <w:rPr>
                <w:color w:val="000000"/>
                <w:sz w:val="24"/>
                <w:szCs w:val="24"/>
              </w:rPr>
              <w:t>3</w:t>
            </w:r>
            <w:r>
              <w:rPr>
                <w:rFonts w:hint="eastAsia"/>
                <w:color w:val="000000"/>
                <w:sz w:val="24"/>
                <w:szCs w:val="24"/>
              </w:rPr>
              <w:t>、遵循规范：IEC60914，软件支持根据话筒ID提供不同的代码编号给中控系统，与中控系统对接后，可实现摄像自动跟踪功能。</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套</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076" w:type="dxa"/>
            <w:gridSpan w:val="3"/>
            <w:noWrap w:val="0"/>
            <w:vAlign w:val="center"/>
          </w:tcPr>
          <w:p>
            <w:pPr>
              <w:widowControl/>
              <w:jc w:val="left"/>
              <w:rPr>
                <w:rFonts w:hint="eastAsia" w:ascii="宋体" w:cs="宋体"/>
                <w:b/>
                <w:bCs/>
                <w:color w:val="000000"/>
                <w:kern w:val="0"/>
                <w:sz w:val="24"/>
                <w:szCs w:val="24"/>
                <w:lang w:bidi="ar-SA"/>
              </w:rPr>
            </w:pPr>
            <w:r>
              <w:rPr>
                <w:rFonts w:hint="eastAsia" w:ascii="宋体" w:cs="宋体"/>
                <w:b/>
                <w:bCs/>
                <w:color w:val="000000"/>
                <w:kern w:val="0"/>
                <w:sz w:val="24"/>
                <w:szCs w:val="24"/>
                <w:lang w:bidi="ar-SA"/>
              </w:rPr>
              <w:t>七）四楼应急指挥大厅视频会议系统</w:t>
            </w:r>
          </w:p>
        </w:tc>
        <w:tc>
          <w:tcPr>
            <w:tcW w:w="640" w:type="dxa"/>
            <w:noWrap w:val="0"/>
            <w:vAlign w:val="center"/>
          </w:tcPr>
          <w:p>
            <w:pPr>
              <w:widowControl/>
              <w:jc w:val="center"/>
              <w:rPr>
                <w:rFonts w:hint="eastAsia" w:ascii="宋体" w:cs="宋体"/>
                <w:b/>
                <w:bCs/>
                <w:color w:val="000000"/>
                <w:kern w:val="0"/>
                <w:sz w:val="24"/>
                <w:szCs w:val="24"/>
                <w:lang w:bidi="ar-SA"/>
              </w:rPr>
            </w:pPr>
            <w:r>
              <w:rPr>
                <w:rFonts w:hint="eastAsia" w:ascii="宋体" w:cs="宋体"/>
                <w:b/>
                <w:bCs/>
                <w:color w:val="000000"/>
                <w:kern w:val="0"/>
                <w:sz w:val="24"/>
                <w:szCs w:val="24"/>
                <w:lang w:bidi="ar-SA"/>
              </w:rPr>
              <w:t>　</w:t>
            </w:r>
          </w:p>
        </w:tc>
        <w:tc>
          <w:tcPr>
            <w:tcW w:w="656" w:type="dxa"/>
            <w:noWrap w:val="0"/>
            <w:vAlign w:val="center"/>
          </w:tcPr>
          <w:p>
            <w:pPr>
              <w:widowControl/>
              <w:jc w:val="left"/>
              <w:rPr>
                <w:rFonts w:hint="eastAsia" w:ascii="宋体" w:cs="宋体"/>
                <w:b/>
                <w:bCs/>
                <w:color w:val="000000"/>
                <w:kern w:val="0"/>
                <w:sz w:val="24"/>
                <w:szCs w:val="24"/>
                <w:lang w:bidi="ar-SA"/>
              </w:rPr>
            </w:pPr>
            <w:r>
              <w:rPr>
                <w:rFonts w:hint="eastAsia" w:ascii="宋体" w:cs="宋体"/>
                <w:b/>
                <w:bCs/>
                <w:color w:val="000000"/>
                <w:kern w:val="0"/>
                <w:sz w:val="24"/>
                <w:szCs w:val="24"/>
                <w:lang w:bidi="ar-SA"/>
              </w:rPr>
              <w:t>　</w:t>
            </w:r>
          </w:p>
          <w:p>
            <w:pPr>
              <w:widowControl/>
              <w:jc w:val="left"/>
              <w:rPr>
                <w:rFonts w:hint="eastAsia" w:ascii="宋体" w:cs="宋体"/>
                <w:b/>
                <w:bCs/>
                <w:color w:val="000000"/>
                <w:kern w:val="0"/>
                <w:sz w:val="24"/>
                <w:szCs w:val="24"/>
                <w:lang w:bidi="ar-SA"/>
              </w:rPr>
            </w:pPr>
            <w:r>
              <w:rPr>
                <w:rFonts w:hint="eastAsia" w:ascii="宋体" w:cs="宋体"/>
                <w:b/>
                <w:bCs/>
                <w:color w:val="000000"/>
                <w:kern w:val="0"/>
                <w:sz w:val="24"/>
                <w:szCs w:val="24"/>
                <w:lang w:bidi="ar-SA"/>
              </w:rPr>
              <w:t>　</w:t>
            </w:r>
          </w:p>
          <w:p>
            <w:pPr>
              <w:widowControl/>
              <w:jc w:val="left"/>
              <w:rPr>
                <w:rFonts w:hint="eastAsia" w:ascii="宋体" w:cs="宋体"/>
                <w:b/>
                <w:bCs/>
                <w:color w:val="000000"/>
                <w:kern w:val="0"/>
                <w:sz w:val="24"/>
                <w:szCs w:val="24"/>
                <w:lang w:bidi="ar-SA"/>
              </w:rPr>
            </w:pPr>
            <w:r>
              <w:rPr>
                <w:rFonts w:hint="eastAsia" w:ascii="宋体" w:cs="宋体"/>
                <w:b/>
                <w:bCs/>
                <w:color w:val="000000"/>
                <w:kern w:val="0"/>
                <w:sz w:val="24"/>
                <w:szCs w:val="24"/>
                <w:lang w:bidi="ar-SA"/>
              </w:rPr>
              <w:t>　</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1</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高清视频会议终端</w:t>
            </w:r>
          </w:p>
        </w:tc>
        <w:tc>
          <w:tcPr>
            <w:tcW w:w="5413" w:type="dxa"/>
            <w:noWrap w:val="0"/>
            <w:vAlign w:val="center"/>
          </w:tcPr>
          <w:p>
            <w:pPr>
              <w:widowControl/>
              <w:jc w:val="left"/>
              <w:rPr>
                <w:color w:val="000000"/>
                <w:sz w:val="24"/>
                <w:szCs w:val="24"/>
              </w:rPr>
            </w:pPr>
            <w:r>
              <w:rPr>
                <w:rFonts w:hint="eastAsia"/>
                <w:color w:val="000000"/>
                <w:sz w:val="24"/>
                <w:szCs w:val="24"/>
              </w:rPr>
              <w:t>1、能配合现有管理系统、MCU等进行远程视讯系统组网，作为会场终端，完成视音频信号的编解码等功能；</w:t>
            </w:r>
          </w:p>
          <w:p>
            <w:pPr>
              <w:widowControl/>
              <w:jc w:val="left"/>
              <w:rPr>
                <w:color w:val="000000"/>
                <w:sz w:val="24"/>
                <w:szCs w:val="24"/>
              </w:rPr>
            </w:pPr>
            <w:r>
              <w:rPr>
                <w:rFonts w:hint="eastAsia"/>
                <w:color w:val="000000"/>
                <w:sz w:val="24"/>
                <w:szCs w:val="24"/>
              </w:rPr>
              <w:t>2、采用</w:t>
            </w:r>
            <w:r>
              <w:rPr>
                <w:rFonts w:hint="eastAsia"/>
                <w:color w:val="000000"/>
                <w:sz w:val="24"/>
                <w:szCs w:val="24"/>
                <w:lang w:eastAsia="zh-CN"/>
              </w:rPr>
              <w:t>主流</w:t>
            </w:r>
            <w:r>
              <w:rPr>
                <w:rFonts w:hint="eastAsia"/>
                <w:color w:val="000000"/>
                <w:sz w:val="24"/>
                <w:szCs w:val="24"/>
              </w:rPr>
              <w:t>视频编解码芯片，具备独立自主知识产权，</w:t>
            </w:r>
            <w:r>
              <w:rPr>
                <w:rFonts w:hint="eastAsia"/>
                <w:color w:val="000000"/>
                <w:sz w:val="24"/>
                <w:szCs w:val="24"/>
                <w:lang w:eastAsia="zh-CN"/>
              </w:rPr>
              <w:t>主流</w:t>
            </w:r>
            <w:r>
              <w:rPr>
                <w:rFonts w:hint="eastAsia"/>
                <w:color w:val="000000"/>
                <w:sz w:val="24"/>
                <w:szCs w:val="24"/>
              </w:rPr>
              <w:t>可控，确保信息安全，能够配合管理平台进行统一升级和巡检；</w:t>
            </w:r>
          </w:p>
          <w:p>
            <w:pPr>
              <w:widowControl/>
              <w:jc w:val="left"/>
              <w:rPr>
                <w:color w:val="000000"/>
                <w:sz w:val="24"/>
                <w:szCs w:val="24"/>
              </w:rPr>
            </w:pPr>
            <w:r>
              <w:rPr>
                <w:rFonts w:hint="eastAsia"/>
                <w:color w:val="000000"/>
                <w:sz w:val="24"/>
                <w:szCs w:val="24"/>
              </w:rPr>
              <w:t>3、采用硬件分体式结构,嵌入式操作系统，支持ITU-T H.323和IETF SIP标准，支持IPv4和IPv6双协议栈，能够和其他主流厂商MCU、终端等产品互通；</w:t>
            </w:r>
          </w:p>
          <w:p>
            <w:pPr>
              <w:widowControl/>
              <w:jc w:val="left"/>
              <w:rPr>
                <w:color w:val="000000"/>
                <w:sz w:val="24"/>
                <w:szCs w:val="24"/>
              </w:rPr>
            </w:pPr>
            <w:r>
              <w:rPr>
                <w:rFonts w:hint="eastAsia"/>
                <w:color w:val="000000"/>
                <w:sz w:val="24"/>
                <w:szCs w:val="24"/>
              </w:rPr>
              <w:t>4、视频接口配置：至少4路高清视频输入、至少3路高清视频输出接口，具备长距离高清视频接口，实现4K30fps视频信号无损远距离传输，传输距离不少于80米，方便大型会议室摄像机远距离布置；</w:t>
            </w:r>
          </w:p>
          <w:p>
            <w:pPr>
              <w:widowControl/>
              <w:jc w:val="left"/>
              <w:rPr>
                <w:color w:val="000000"/>
                <w:sz w:val="24"/>
                <w:szCs w:val="24"/>
              </w:rPr>
            </w:pPr>
            <w:r>
              <w:rPr>
                <w:rFonts w:hint="eastAsia"/>
                <w:color w:val="000000"/>
                <w:sz w:val="24"/>
                <w:szCs w:val="24"/>
              </w:rPr>
              <w:t>5、支持智能语音控制，通过语音指令实现唤醒终端、加入/结束会议、调解音量、发送/停止双流共享、延长会议等功能；</w:t>
            </w:r>
          </w:p>
          <w:p>
            <w:pPr>
              <w:widowControl/>
              <w:jc w:val="left"/>
              <w:rPr>
                <w:color w:val="000000"/>
                <w:sz w:val="24"/>
                <w:szCs w:val="24"/>
              </w:rPr>
            </w:pPr>
            <w:r>
              <w:rPr>
                <w:rFonts w:hint="eastAsia"/>
                <w:color w:val="000000"/>
                <w:sz w:val="24"/>
                <w:szCs w:val="24"/>
              </w:rPr>
              <w:t>6、支持H.239和BFCP双视频流协议，支持主流达到1080P60fps情况下，辅流至少达到4K分辨率；</w:t>
            </w:r>
          </w:p>
          <w:p>
            <w:pPr>
              <w:widowControl/>
              <w:jc w:val="left"/>
              <w:rPr>
                <w:color w:val="000000"/>
                <w:sz w:val="24"/>
                <w:szCs w:val="24"/>
              </w:rPr>
            </w:pPr>
            <w:r>
              <w:rPr>
                <w:rFonts w:hint="eastAsia"/>
                <w:color w:val="000000"/>
                <w:sz w:val="24"/>
                <w:szCs w:val="24"/>
              </w:rPr>
              <w:t>7、支持在H.323协议下，H.235信令加密；支持在SIP下，TLS、SRTP加密；支持 AES媒体流加密算法，保证会议安全；</w:t>
            </w:r>
          </w:p>
          <w:p>
            <w:pPr>
              <w:widowControl/>
              <w:jc w:val="left"/>
              <w:rPr>
                <w:rFonts w:hint="eastAsia" w:ascii="宋体" w:cs="宋体"/>
                <w:color w:val="000000"/>
                <w:kern w:val="0"/>
                <w:sz w:val="24"/>
                <w:szCs w:val="24"/>
                <w:lang w:bidi="ar-SA"/>
              </w:rPr>
            </w:pPr>
            <w:r>
              <w:rPr>
                <w:rFonts w:hint="eastAsia"/>
                <w:color w:val="000000"/>
                <w:sz w:val="24"/>
                <w:szCs w:val="24"/>
              </w:rPr>
              <w:t>8、具备良好的网络适应性，20%的网络丢包下,图像流畅、清晰、无卡顿、无马赛克现象，确保会议正常进行；支持70%的网络丢包下，声音清晰流畅。</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台</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2</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高清摄像头</w:t>
            </w:r>
          </w:p>
        </w:tc>
        <w:tc>
          <w:tcPr>
            <w:tcW w:w="5413" w:type="dxa"/>
            <w:noWrap w:val="0"/>
            <w:vAlign w:val="center"/>
          </w:tcPr>
          <w:p>
            <w:pPr>
              <w:widowControl/>
              <w:jc w:val="left"/>
              <w:rPr>
                <w:color w:val="000000"/>
                <w:sz w:val="24"/>
                <w:szCs w:val="24"/>
              </w:rPr>
            </w:pPr>
            <w:r>
              <w:rPr>
                <w:rFonts w:hint="eastAsia"/>
                <w:color w:val="000000"/>
                <w:sz w:val="24"/>
                <w:szCs w:val="24"/>
              </w:rPr>
              <w:t>1、配置与高清视频终端同品牌，确保应用功能的完整性，管理的统一性，能够配合终端的WEB界面对镜头视频格式、曝光指数、白平衡和降噪等参数进行远程调整，也能进行软件升级；</w:t>
            </w:r>
          </w:p>
          <w:p>
            <w:pPr>
              <w:widowControl/>
              <w:jc w:val="left"/>
              <w:rPr>
                <w:color w:val="000000"/>
                <w:sz w:val="24"/>
                <w:szCs w:val="24"/>
              </w:rPr>
            </w:pPr>
            <w:r>
              <w:rPr>
                <w:rFonts w:hint="eastAsia"/>
                <w:color w:val="000000"/>
                <w:sz w:val="24"/>
                <w:szCs w:val="24"/>
              </w:rPr>
              <w:t>2、支持220万以上像素，不小于1/3英寸CMOS成像芯片，支持≥30个的预置位；</w:t>
            </w:r>
          </w:p>
          <w:p>
            <w:pPr>
              <w:widowControl/>
              <w:jc w:val="left"/>
              <w:rPr>
                <w:color w:val="000000"/>
                <w:sz w:val="24"/>
                <w:szCs w:val="24"/>
              </w:rPr>
            </w:pPr>
            <w:r>
              <w:rPr>
                <w:rFonts w:hint="eastAsia"/>
                <w:color w:val="000000"/>
                <w:sz w:val="24"/>
                <w:szCs w:val="24"/>
              </w:rPr>
              <w:t>3、支持12倍光学变焦，10倍数字变焦，支持1080P 50/60fps、1080p 25/30、720P50/60fps视频输出；</w:t>
            </w:r>
          </w:p>
          <w:p>
            <w:pPr>
              <w:widowControl/>
              <w:jc w:val="left"/>
              <w:rPr>
                <w:color w:val="000000"/>
                <w:sz w:val="24"/>
                <w:szCs w:val="24"/>
              </w:rPr>
            </w:pPr>
            <w:r>
              <w:rPr>
                <w:rFonts w:hint="eastAsia"/>
                <w:color w:val="000000"/>
                <w:sz w:val="24"/>
                <w:szCs w:val="24"/>
              </w:rPr>
              <w:t>4、支持3G-SDI接口，实现1080P高清信号的超远距离传输；</w:t>
            </w:r>
          </w:p>
          <w:p>
            <w:pPr>
              <w:widowControl/>
              <w:jc w:val="left"/>
              <w:rPr>
                <w:color w:val="000000"/>
                <w:sz w:val="24"/>
                <w:szCs w:val="24"/>
              </w:rPr>
            </w:pPr>
            <w:r>
              <w:rPr>
                <w:rFonts w:hint="eastAsia"/>
                <w:color w:val="000000"/>
                <w:sz w:val="24"/>
                <w:szCs w:val="24"/>
              </w:rPr>
              <w:t>5、终端可直接给摄像机供电，无需摄像机外置电源；</w:t>
            </w:r>
          </w:p>
          <w:p>
            <w:pPr>
              <w:widowControl/>
              <w:jc w:val="left"/>
              <w:rPr>
                <w:color w:val="000000"/>
                <w:sz w:val="24"/>
                <w:szCs w:val="24"/>
              </w:rPr>
            </w:pPr>
            <w:r>
              <w:rPr>
                <w:rFonts w:hint="eastAsia"/>
                <w:color w:val="000000"/>
                <w:sz w:val="24"/>
                <w:szCs w:val="24"/>
              </w:rPr>
              <w:t>6、支持红外透传功能，遥控器信号能够通过摄像机传导给终端，进行终端控制；</w:t>
            </w:r>
          </w:p>
          <w:p>
            <w:pPr>
              <w:widowControl/>
              <w:jc w:val="left"/>
              <w:rPr>
                <w:color w:val="000000"/>
                <w:sz w:val="24"/>
                <w:szCs w:val="24"/>
              </w:rPr>
            </w:pPr>
            <w:r>
              <w:rPr>
                <w:rFonts w:hint="eastAsia"/>
                <w:color w:val="000000"/>
                <w:sz w:val="24"/>
                <w:szCs w:val="24"/>
              </w:rPr>
              <w:t>7、通过终端的WEB界面能够对镜头视频格式、曝光指数、白平衡和降噪等参数进行远程调整；</w:t>
            </w:r>
          </w:p>
          <w:p>
            <w:pPr>
              <w:widowControl/>
              <w:jc w:val="left"/>
              <w:rPr>
                <w:color w:val="000000"/>
                <w:sz w:val="24"/>
                <w:szCs w:val="24"/>
              </w:rPr>
            </w:pPr>
            <w:r>
              <w:rPr>
                <w:rFonts w:hint="eastAsia"/>
                <w:color w:val="000000"/>
                <w:sz w:val="24"/>
                <w:szCs w:val="24"/>
              </w:rPr>
              <w:t>8、吊装模式、视频格式、红外模式等可以通过摄像机按键直接进行设置，设置不需要重启摄像机；</w:t>
            </w:r>
          </w:p>
          <w:p>
            <w:pPr>
              <w:widowControl/>
              <w:jc w:val="left"/>
              <w:rPr>
                <w:rFonts w:hint="eastAsia" w:ascii="宋体" w:cs="宋体"/>
                <w:color w:val="000000"/>
                <w:kern w:val="0"/>
                <w:sz w:val="24"/>
                <w:szCs w:val="24"/>
                <w:lang w:bidi="ar-SA"/>
              </w:rPr>
            </w:pPr>
            <w:r>
              <w:rPr>
                <w:rFonts w:hint="eastAsia"/>
                <w:color w:val="000000"/>
                <w:sz w:val="24"/>
                <w:szCs w:val="24"/>
              </w:rPr>
              <w:t>9、摄像机具有LCD显示功能，可以实时显示当前视频输出格式或者故障代码，便于维护人员诊断和维护。</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个</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3</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全向麦克风</w:t>
            </w:r>
          </w:p>
        </w:tc>
        <w:tc>
          <w:tcPr>
            <w:tcW w:w="5413" w:type="dxa"/>
            <w:noWrap w:val="0"/>
            <w:vAlign w:val="center"/>
          </w:tcPr>
          <w:p>
            <w:pPr>
              <w:widowControl/>
              <w:jc w:val="left"/>
              <w:rPr>
                <w:rFonts w:hint="eastAsia" w:ascii="宋体" w:cs="宋体"/>
                <w:color w:val="000000"/>
                <w:kern w:val="0"/>
                <w:sz w:val="24"/>
                <w:szCs w:val="24"/>
                <w:lang w:bidi="ar-SA"/>
              </w:rPr>
            </w:pPr>
            <w:r>
              <w:rPr>
                <w:rFonts w:hint="eastAsia"/>
                <w:color w:val="000000"/>
                <w:sz w:val="24"/>
                <w:szCs w:val="24"/>
              </w:rPr>
              <w:t>1、配置与高清视频终端同品牌，确保应用功能的完整性，管理的统一性；</w:t>
            </w:r>
            <w:r>
              <w:rPr>
                <w:rFonts w:hint="eastAsia"/>
                <w:color w:val="000000"/>
                <w:sz w:val="24"/>
                <w:szCs w:val="24"/>
              </w:rPr>
              <w:br w:type="textWrapping"/>
            </w:r>
            <w:r>
              <w:rPr>
                <w:rFonts w:hint="eastAsia"/>
                <w:color w:val="000000"/>
                <w:sz w:val="24"/>
                <w:szCs w:val="24"/>
              </w:rPr>
              <w:t>2、数字阵列麦克风，支持360度全向拾音，最大拾音距离不低于6米；</w:t>
            </w:r>
            <w:r>
              <w:rPr>
                <w:rFonts w:hint="eastAsia"/>
                <w:color w:val="000000"/>
                <w:sz w:val="24"/>
                <w:szCs w:val="24"/>
              </w:rPr>
              <w:br w:type="textWrapping"/>
            </w:r>
            <w:r>
              <w:rPr>
                <w:rFonts w:hint="eastAsia"/>
                <w:color w:val="000000"/>
                <w:sz w:val="24"/>
                <w:szCs w:val="24"/>
              </w:rPr>
              <w:t>3、和终端支持有线部署，需通过线缆连接，部署方便；</w:t>
            </w:r>
            <w:r>
              <w:rPr>
                <w:rFonts w:hint="eastAsia"/>
                <w:color w:val="000000"/>
                <w:sz w:val="24"/>
                <w:szCs w:val="24"/>
              </w:rPr>
              <w:br w:type="textWrapping"/>
            </w:r>
            <w:r>
              <w:rPr>
                <w:rFonts w:hint="eastAsia"/>
                <w:color w:val="000000"/>
                <w:sz w:val="24"/>
                <w:szCs w:val="24"/>
              </w:rPr>
              <w:t>4、支持自适应回声抵消，自动增益控制，自动噪声抑制。</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台</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4</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1080p30端口升级许可</w:t>
            </w:r>
          </w:p>
        </w:tc>
        <w:tc>
          <w:tcPr>
            <w:tcW w:w="5413" w:type="dxa"/>
            <w:noWrap w:val="0"/>
            <w:vAlign w:val="center"/>
          </w:tcPr>
          <w:p>
            <w:pPr>
              <w:widowControl/>
              <w:jc w:val="left"/>
              <w:rPr>
                <w:rFonts w:hint="eastAsia" w:ascii="宋体" w:cs="宋体"/>
                <w:color w:val="000000"/>
                <w:kern w:val="0"/>
                <w:sz w:val="24"/>
                <w:szCs w:val="24"/>
                <w:lang w:bidi="ar-SA"/>
              </w:rPr>
            </w:pPr>
            <w:r>
              <w:rPr>
                <w:rFonts w:hint="eastAsia"/>
                <w:color w:val="000000"/>
                <w:sz w:val="24"/>
                <w:szCs w:val="24"/>
              </w:rPr>
              <w:t>1、与现有视频会议系统MCU无缝兼容；</w:t>
            </w:r>
            <w:r>
              <w:rPr>
                <w:rFonts w:hint="eastAsia"/>
                <w:color w:val="000000"/>
                <w:sz w:val="24"/>
                <w:szCs w:val="24"/>
              </w:rPr>
              <w:br w:type="textWrapping"/>
            </w:r>
            <w:r>
              <w:rPr>
                <w:rFonts w:hint="eastAsia"/>
                <w:color w:val="000000"/>
                <w:sz w:val="24"/>
                <w:szCs w:val="24"/>
              </w:rPr>
              <w:t>2、1080p30端口升级许可。</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路</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076" w:type="dxa"/>
            <w:gridSpan w:val="3"/>
            <w:noWrap w:val="0"/>
            <w:vAlign w:val="center"/>
          </w:tcPr>
          <w:p>
            <w:pPr>
              <w:widowControl/>
              <w:jc w:val="left"/>
              <w:rPr>
                <w:rFonts w:hint="eastAsia" w:ascii="宋体" w:cs="宋体"/>
                <w:b/>
                <w:bCs/>
                <w:color w:val="000000"/>
                <w:kern w:val="0"/>
                <w:sz w:val="24"/>
                <w:szCs w:val="24"/>
                <w:lang w:bidi="ar-SA"/>
              </w:rPr>
            </w:pPr>
            <w:r>
              <w:rPr>
                <w:rFonts w:hint="eastAsia" w:ascii="宋体" w:cs="宋体"/>
                <w:b/>
                <w:bCs/>
                <w:color w:val="000000"/>
                <w:kern w:val="0"/>
                <w:sz w:val="24"/>
                <w:szCs w:val="24"/>
                <w:lang w:bidi="ar-SA"/>
              </w:rPr>
              <w:t>八）四楼应急指挥大厅集中控制系统</w:t>
            </w:r>
          </w:p>
        </w:tc>
        <w:tc>
          <w:tcPr>
            <w:tcW w:w="640" w:type="dxa"/>
            <w:noWrap w:val="0"/>
            <w:vAlign w:val="center"/>
          </w:tcPr>
          <w:p>
            <w:pPr>
              <w:widowControl/>
              <w:jc w:val="center"/>
              <w:rPr>
                <w:rFonts w:hint="eastAsia" w:ascii="宋体" w:cs="宋体"/>
                <w:b/>
                <w:bCs/>
                <w:color w:val="000000"/>
                <w:kern w:val="0"/>
                <w:sz w:val="24"/>
                <w:szCs w:val="24"/>
                <w:lang w:bidi="ar-SA"/>
              </w:rPr>
            </w:pPr>
            <w:r>
              <w:rPr>
                <w:rFonts w:hint="eastAsia" w:ascii="宋体" w:cs="宋体"/>
                <w:b/>
                <w:bCs/>
                <w:color w:val="000000"/>
                <w:kern w:val="0"/>
                <w:sz w:val="24"/>
                <w:szCs w:val="24"/>
                <w:lang w:bidi="ar-SA"/>
              </w:rPr>
              <w:t>　</w:t>
            </w:r>
          </w:p>
        </w:tc>
        <w:tc>
          <w:tcPr>
            <w:tcW w:w="656" w:type="dxa"/>
            <w:noWrap w:val="0"/>
            <w:vAlign w:val="center"/>
          </w:tcPr>
          <w:p>
            <w:pPr>
              <w:widowControl/>
              <w:jc w:val="left"/>
              <w:rPr>
                <w:rFonts w:hint="eastAsia" w:ascii="宋体" w:cs="宋体"/>
                <w:b/>
                <w:bCs/>
                <w:color w:val="000000"/>
                <w:kern w:val="0"/>
                <w:sz w:val="24"/>
                <w:szCs w:val="24"/>
                <w:lang w:bidi="ar-SA"/>
              </w:rPr>
            </w:pPr>
            <w:r>
              <w:rPr>
                <w:rFonts w:hint="eastAsia" w:ascii="宋体" w:cs="宋体"/>
                <w:b/>
                <w:bCs/>
                <w:color w:val="000000"/>
                <w:kern w:val="0"/>
                <w:sz w:val="24"/>
                <w:szCs w:val="24"/>
                <w:lang w:bidi="ar-SA"/>
              </w:rPr>
              <w:t>　</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2</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网络中控主机</w:t>
            </w:r>
          </w:p>
        </w:tc>
        <w:tc>
          <w:tcPr>
            <w:tcW w:w="5413" w:type="dxa"/>
            <w:noWrap w:val="0"/>
            <w:vAlign w:val="center"/>
          </w:tcPr>
          <w:p>
            <w:pPr>
              <w:widowControl/>
              <w:jc w:val="left"/>
              <w:rPr>
                <w:color w:val="000000"/>
                <w:sz w:val="24"/>
                <w:szCs w:val="24"/>
              </w:rPr>
            </w:pPr>
            <w:r>
              <w:rPr>
                <w:rFonts w:hint="eastAsia"/>
                <w:color w:val="000000"/>
                <w:sz w:val="24"/>
                <w:szCs w:val="24"/>
              </w:rPr>
              <w:t>1、≥19英寸机柜设计，面板具有指示灯，可直观反馈串口、红外、设备的工作状态，面板有≥4.3英寸LCD触摸彩屏，可查看IP地址、修改IP地址；</w:t>
            </w:r>
          </w:p>
          <w:p>
            <w:pPr>
              <w:widowControl/>
              <w:jc w:val="left"/>
              <w:rPr>
                <w:color w:val="000000"/>
                <w:sz w:val="24"/>
                <w:szCs w:val="24"/>
              </w:rPr>
            </w:pPr>
            <w:r>
              <w:rPr>
                <w:rFonts w:hint="eastAsia"/>
                <w:color w:val="000000"/>
                <w:sz w:val="24"/>
                <w:szCs w:val="24"/>
              </w:rPr>
              <w:t>3、支持IOS平台（iPhone/ipad）、安卓平台等移动设备终端通过wifi与主机通讯，支持操作状态双向反馈功能；</w:t>
            </w:r>
          </w:p>
          <w:p>
            <w:pPr>
              <w:widowControl/>
              <w:jc w:val="left"/>
              <w:rPr>
                <w:color w:val="000000"/>
                <w:sz w:val="24"/>
                <w:szCs w:val="24"/>
              </w:rPr>
            </w:pPr>
            <w:r>
              <w:rPr>
                <w:rFonts w:hint="eastAsia"/>
                <w:color w:val="000000"/>
                <w:sz w:val="24"/>
                <w:szCs w:val="24"/>
              </w:rPr>
              <w:t>4、采用32位Cortex-A8 ARM架构内嵌式处理器，处理速度最高可达720MHz，主机内置256MDPR及8 GEMMC的大容量FLASH 存储器。</w:t>
            </w:r>
          </w:p>
          <w:p>
            <w:pPr>
              <w:widowControl/>
              <w:jc w:val="left"/>
              <w:rPr>
                <w:color w:val="000000"/>
                <w:sz w:val="24"/>
                <w:szCs w:val="24"/>
              </w:rPr>
            </w:pPr>
            <w:r>
              <w:rPr>
                <w:rFonts w:hint="eastAsia"/>
                <w:color w:val="000000"/>
                <w:sz w:val="24"/>
                <w:szCs w:val="24"/>
              </w:rPr>
              <w:t>5、主机具备≥8路独立可编程串口，可收发RS-232，RS-485及RS-422信号。</w:t>
            </w:r>
          </w:p>
          <w:p>
            <w:pPr>
              <w:widowControl/>
              <w:jc w:val="left"/>
              <w:rPr>
                <w:color w:val="000000"/>
                <w:sz w:val="24"/>
                <w:szCs w:val="24"/>
              </w:rPr>
            </w:pPr>
            <w:r>
              <w:rPr>
                <w:rFonts w:hint="eastAsia"/>
                <w:color w:val="000000"/>
                <w:sz w:val="24"/>
                <w:szCs w:val="24"/>
              </w:rPr>
              <w:t>6、支持串口环出功能，主机的8路串口均可实现任意一个输入都可以从另外一个串口环出。</w:t>
            </w:r>
          </w:p>
          <w:p>
            <w:pPr>
              <w:widowControl/>
              <w:jc w:val="left"/>
              <w:rPr>
                <w:color w:val="000000"/>
                <w:sz w:val="24"/>
                <w:szCs w:val="24"/>
              </w:rPr>
            </w:pPr>
            <w:r>
              <w:rPr>
                <w:rFonts w:hint="eastAsia"/>
                <w:color w:val="000000"/>
                <w:sz w:val="24"/>
                <w:szCs w:val="24"/>
              </w:rPr>
              <w:t>7、主机具备≥8路独立可编程IR红外发射口，主机具备≥8路数字I/0输入输出控制口，带保护电路，主机具备≥8路弱电继电器控制接口，主机具备≥1个NET网络控制接口，可做外部功能扩展使用，可并接256个网络设备。</w:t>
            </w:r>
          </w:p>
          <w:p>
            <w:pPr>
              <w:widowControl/>
              <w:jc w:val="left"/>
              <w:rPr>
                <w:rFonts w:hint="eastAsia" w:ascii="宋体" w:cs="宋体"/>
                <w:color w:val="000000"/>
                <w:kern w:val="0"/>
                <w:sz w:val="24"/>
                <w:szCs w:val="24"/>
                <w:lang w:bidi="ar-SA"/>
              </w:rPr>
            </w:pPr>
            <w:r>
              <w:rPr>
                <w:rFonts w:hint="eastAsia"/>
                <w:color w:val="000000"/>
                <w:sz w:val="24"/>
                <w:szCs w:val="24"/>
              </w:rPr>
              <w:t>8、支持≥1路TF卡接口，实现项目中的程序导入或导出。</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台</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3</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网络中控系统逻辑处理内嵌软件</w:t>
            </w:r>
          </w:p>
        </w:tc>
        <w:tc>
          <w:tcPr>
            <w:tcW w:w="5413" w:type="dxa"/>
            <w:noWrap w:val="0"/>
            <w:vAlign w:val="center"/>
          </w:tcPr>
          <w:p>
            <w:pPr>
              <w:widowControl/>
              <w:jc w:val="left"/>
              <w:rPr>
                <w:rFonts w:hint="eastAsia" w:ascii="宋体" w:cs="宋体"/>
                <w:color w:val="000000"/>
                <w:kern w:val="0"/>
                <w:sz w:val="24"/>
                <w:szCs w:val="24"/>
                <w:lang w:bidi="ar-SA"/>
              </w:rPr>
            </w:pPr>
            <w:r>
              <w:rPr>
                <w:rFonts w:hint="eastAsia"/>
                <w:color w:val="000000"/>
                <w:sz w:val="24"/>
                <w:szCs w:val="24"/>
              </w:rPr>
              <w:t>1、软件内嵌于中央控制系统主机设备，实现系统控制逻辑、处理等功能；</w:t>
            </w:r>
            <w:r>
              <w:rPr>
                <w:rFonts w:hint="eastAsia"/>
                <w:color w:val="000000"/>
                <w:sz w:val="24"/>
                <w:szCs w:val="24"/>
              </w:rPr>
              <w:br w:type="textWrapping"/>
            </w:r>
            <w:r>
              <w:rPr>
                <w:rFonts w:hint="eastAsia"/>
                <w:color w:val="000000"/>
                <w:sz w:val="24"/>
                <w:szCs w:val="24"/>
              </w:rPr>
              <w:t>2、主要包括硬件逻辑模块、软件逻辑模块、红外代码管理、编译、下载、监视等；</w:t>
            </w:r>
            <w:r>
              <w:rPr>
                <w:rFonts w:hint="eastAsia"/>
                <w:color w:val="000000"/>
                <w:sz w:val="24"/>
                <w:szCs w:val="24"/>
              </w:rPr>
              <w:br w:type="textWrapping"/>
            </w:r>
            <w:r>
              <w:rPr>
                <w:rFonts w:hint="eastAsia"/>
                <w:color w:val="000000"/>
                <w:sz w:val="24"/>
                <w:szCs w:val="24"/>
              </w:rPr>
              <w:t>3、编程软件支持添加与实际工程对应硬件的逻辑模块；</w:t>
            </w:r>
            <w:r>
              <w:rPr>
                <w:rFonts w:hint="eastAsia"/>
                <w:color w:val="000000"/>
                <w:sz w:val="24"/>
                <w:szCs w:val="24"/>
              </w:rPr>
              <w:br w:type="textWrapping"/>
            </w:r>
            <w:r>
              <w:rPr>
                <w:rFonts w:hint="eastAsia"/>
                <w:color w:val="000000"/>
                <w:sz w:val="24"/>
                <w:szCs w:val="24"/>
              </w:rPr>
              <w:t>4、实现串口代码数据、IR红外数据、继电器、I/O数据等的代码转发、逻辑算法处理等编程功能；</w:t>
            </w:r>
            <w:r>
              <w:rPr>
                <w:rFonts w:hint="eastAsia"/>
                <w:color w:val="000000"/>
                <w:sz w:val="24"/>
                <w:szCs w:val="24"/>
              </w:rPr>
              <w:br w:type="textWrapping"/>
            </w:r>
            <w:r>
              <w:rPr>
                <w:rFonts w:hint="eastAsia"/>
                <w:color w:val="000000"/>
                <w:sz w:val="24"/>
                <w:szCs w:val="24"/>
              </w:rPr>
              <w:t>5、支持界面设计软件实现中控控制界面的制作及编辑，支持互锁模式，支持3D按键等灵活的按键设计模块。</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套</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eastAsia="宋体" w:cs="宋体"/>
                <w:color w:val="000000"/>
                <w:kern w:val="0"/>
                <w:sz w:val="24"/>
                <w:szCs w:val="24"/>
                <w:lang w:eastAsia="zh-CN" w:bidi="ar-SA"/>
              </w:rPr>
            </w:pPr>
            <w:r>
              <w:rPr>
                <w:rFonts w:hint="eastAsia" w:ascii="宋体" w:cs="宋体"/>
                <w:color w:val="000000"/>
                <w:kern w:val="0"/>
                <w:sz w:val="24"/>
                <w:szCs w:val="24"/>
                <w:lang w:val="en-US" w:eastAsia="zh-CN" w:bidi="ar-SA"/>
              </w:rPr>
              <w:t>4</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无线路由器</w:t>
            </w:r>
          </w:p>
        </w:tc>
        <w:tc>
          <w:tcPr>
            <w:tcW w:w="5413" w:type="dxa"/>
            <w:noWrap w:val="0"/>
            <w:vAlign w:val="center"/>
          </w:tcPr>
          <w:p>
            <w:pPr>
              <w:widowControl/>
              <w:jc w:val="left"/>
              <w:rPr>
                <w:rFonts w:hint="eastAsia" w:ascii="宋体" w:cs="宋体"/>
                <w:color w:val="000000"/>
                <w:kern w:val="0"/>
                <w:sz w:val="24"/>
                <w:szCs w:val="24"/>
                <w:lang w:bidi="ar-SA"/>
              </w:rPr>
            </w:pPr>
            <w:r>
              <w:rPr>
                <w:rFonts w:hint="eastAsia"/>
                <w:color w:val="000000"/>
                <w:sz w:val="24"/>
                <w:szCs w:val="24"/>
              </w:rPr>
              <w:t>适用频段：2.4GHz；5GHz；2.4GHz+5GHz；LAN口数量：≥3个，WAN口数量：≥1个；传输速率：≥1200M。</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台</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eastAsia="宋体" w:cs="宋体"/>
                <w:color w:val="000000"/>
                <w:kern w:val="0"/>
                <w:sz w:val="24"/>
                <w:szCs w:val="24"/>
                <w:lang w:eastAsia="zh-CN" w:bidi="ar-SA"/>
              </w:rPr>
            </w:pPr>
            <w:r>
              <w:rPr>
                <w:rFonts w:hint="eastAsia" w:ascii="宋体" w:cs="宋体"/>
                <w:color w:val="000000"/>
                <w:kern w:val="0"/>
                <w:sz w:val="24"/>
                <w:szCs w:val="24"/>
                <w:lang w:val="en-US" w:eastAsia="zh-CN" w:bidi="ar-SA"/>
              </w:rPr>
              <w:t>5</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控制器</w:t>
            </w:r>
          </w:p>
        </w:tc>
        <w:tc>
          <w:tcPr>
            <w:tcW w:w="5413" w:type="dxa"/>
            <w:noWrap w:val="0"/>
            <w:vAlign w:val="center"/>
          </w:tcPr>
          <w:p>
            <w:pPr>
              <w:widowControl/>
              <w:jc w:val="left"/>
              <w:rPr>
                <w:rFonts w:hint="eastAsia" w:ascii="宋体" w:cs="宋体"/>
                <w:color w:val="000000"/>
                <w:kern w:val="0"/>
                <w:sz w:val="24"/>
                <w:szCs w:val="24"/>
                <w:lang w:bidi="ar-SA"/>
              </w:rPr>
            </w:pPr>
            <w:r>
              <w:rPr>
                <w:rFonts w:hint="eastAsia"/>
                <w:color w:val="000000"/>
                <w:sz w:val="24"/>
                <w:szCs w:val="24"/>
              </w:rPr>
              <w:t>1、具有≥8路自动、手动电源控制器，内置8个20A继电器，最大负载能力4400W/单路；配合中控主机使用，用于控制灯光、电动投影幕、电动窗帘等会议室周边设备；</w:t>
            </w:r>
            <w:r>
              <w:rPr>
                <w:rFonts w:hint="eastAsia"/>
                <w:color w:val="000000"/>
                <w:sz w:val="24"/>
                <w:szCs w:val="24"/>
              </w:rPr>
              <w:br w:type="textWrapping"/>
            </w:r>
            <w:r>
              <w:rPr>
                <w:rFonts w:hint="eastAsia"/>
                <w:color w:val="000000"/>
                <w:sz w:val="24"/>
                <w:szCs w:val="24"/>
              </w:rPr>
              <w:t>2、每路继电器都有三连接点的接线柱,具有常开与常闭的功能；</w:t>
            </w:r>
            <w:r>
              <w:rPr>
                <w:rFonts w:hint="eastAsia"/>
                <w:color w:val="000000"/>
                <w:sz w:val="24"/>
                <w:szCs w:val="24"/>
              </w:rPr>
              <w:br w:type="textWrapping"/>
            </w:r>
            <w:r>
              <w:rPr>
                <w:rFonts w:hint="eastAsia"/>
                <w:color w:val="000000"/>
                <w:sz w:val="24"/>
                <w:szCs w:val="24"/>
              </w:rPr>
              <w:t>3、具有复位按键，支持恢复到出厂的默认设置。具有1路网络接口，支持通过网络实现远程控制，具有设备运行状态指示灯及8个继电器的开关状态指示灯，具有键盘锁（LOCK）功能，防止误操作，便于用于维护管理；</w:t>
            </w:r>
            <w:r>
              <w:rPr>
                <w:rFonts w:hint="eastAsia"/>
                <w:color w:val="000000"/>
                <w:sz w:val="24"/>
                <w:szCs w:val="24"/>
              </w:rPr>
              <w:br w:type="textWrapping"/>
            </w:r>
            <w:r>
              <w:rPr>
                <w:color w:val="000000"/>
                <w:sz w:val="24"/>
                <w:szCs w:val="24"/>
              </w:rPr>
              <w:t>4</w:t>
            </w:r>
            <w:r>
              <w:rPr>
                <w:rFonts w:hint="eastAsia"/>
                <w:color w:val="000000"/>
                <w:sz w:val="24"/>
                <w:szCs w:val="24"/>
              </w:rPr>
              <w:t>、机器具备ID识别，通过中控主机网络控制多台时，可通过ID识别。</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台</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076" w:type="dxa"/>
            <w:gridSpan w:val="3"/>
            <w:noWrap w:val="0"/>
            <w:vAlign w:val="center"/>
          </w:tcPr>
          <w:p>
            <w:pPr>
              <w:widowControl/>
              <w:jc w:val="left"/>
              <w:rPr>
                <w:rFonts w:hint="eastAsia" w:ascii="宋体" w:cs="宋体"/>
                <w:b/>
                <w:bCs/>
                <w:color w:val="000000"/>
                <w:kern w:val="0"/>
                <w:sz w:val="24"/>
                <w:szCs w:val="24"/>
                <w:lang w:bidi="ar-SA"/>
              </w:rPr>
            </w:pPr>
            <w:r>
              <w:rPr>
                <w:rFonts w:hint="eastAsia" w:ascii="宋体" w:cs="宋体"/>
                <w:b/>
                <w:bCs/>
                <w:color w:val="000000"/>
                <w:kern w:val="0"/>
                <w:sz w:val="24"/>
                <w:szCs w:val="24"/>
                <w:lang w:bidi="ar-SA"/>
              </w:rPr>
              <w:t>九）四楼应急指挥大厅矩阵切换系统</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w:t>
            </w:r>
          </w:p>
          <w:p>
            <w:pPr>
              <w:widowControl/>
              <w:jc w:val="center"/>
              <w:rPr>
                <w:rFonts w:hint="eastAsia" w:ascii="宋体" w:cs="宋体"/>
                <w:b/>
                <w:bCs/>
                <w:color w:val="000000"/>
                <w:kern w:val="0"/>
                <w:sz w:val="24"/>
                <w:szCs w:val="24"/>
                <w:lang w:bidi="ar-SA"/>
              </w:rPr>
            </w:pPr>
            <w:r>
              <w:rPr>
                <w:rFonts w:hint="eastAsia" w:ascii="宋体" w:cs="宋体"/>
                <w:b/>
                <w:bCs/>
                <w:color w:val="000000"/>
                <w:kern w:val="0"/>
                <w:sz w:val="24"/>
                <w:szCs w:val="24"/>
                <w:lang w:bidi="ar-SA"/>
              </w:rPr>
              <w:t>　</w:t>
            </w:r>
          </w:p>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1</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无缝高清矩阵切换器</w:t>
            </w:r>
          </w:p>
        </w:tc>
        <w:tc>
          <w:tcPr>
            <w:tcW w:w="5413" w:type="dxa"/>
            <w:noWrap w:val="0"/>
            <w:vAlign w:val="center"/>
          </w:tcPr>
          <w:p>
            <w:pPr>
              <w:widowControl/>
              <w:jc w:val="left"/>
              <w:rPr>
                <w:color w:val="000000"/>
                <w:sz w:val="24"/>
                <w:szCs w:val="24"/>
              </w:rPr>
            </w:pPr>
            <w:r>
              <w:rPr>
                <w:rFonts w:hint="eastAsia"/>
                <w:color w:val="000000"/>
                <w:sz w:val="24"/>
                <w:szCs w:val="24"/>
              </w:rPr>
              <w:t>1、可配置输入/输出信号卡的模块化矩阵主机，支持8×8路信号切换；</w:t>
            </w:r>
          </w:p>
          <w:p>
            <w:pPr>
              <w:widowControl/>
              <w:jc w:val="left"/>
              <w:rPr>
                <w:color w:val="000000"/>
                <w:sz w:val="24"/>
                <w:szCs w:val="24"/>
              </w:rPr>
            </w:pPr>
            <w:r>
              <w:rPr>
                <w:rFonts w:hint="eastAsia"/>
                <w:color w:val="000000"/>
                <w:sz w:val="24"/>
                <w:szCs w:val="24"/>
              </w:rPr>
              <w:t>2、支持HDMI、DVI、VGA、SDI、HDBaseT、光纤的任意输入/输出信号卡，其中DVI输入卡兼容CVBS，YUV,S-VIDEO信号，VGA输入/输出卡均兼容CVBS，YUV,S-VIDEO；</w:t>
            </w:r>
          </w:p>
          <w:p>
            <w:pPr>
              <w:widowControl/>
              <w:jc w:val="left"/>
              <w:rPr>
                <w:color w:val="000000"/>
                <w:sz w:val="24"/>
                <w:szCs w:val="24"/>
              </w:rPr>
            </w:pPr>
            <w:r>
              <w:rPr>
                <w:rFonts w:hint="eastAsia"/>
                <w:color w:val="000000"/>
                <w:sz w:val="24"/>
                <w:szCs w:val="24"/>
              </w:rPr>
              <w:t>3、通过定制配置各类相同或不同的输入输出卡可以组成单一接口类型或多接口类型的矩阵，如HDMI矩阵，DVI矩阵，VGA矩阵，YUV矩阵，Video矩阵等；</w:t>
            </w:r>
          </w:p>
          <w:p>
            <w:pPr>
              <w:widowControl/>
              <w:jc w:val="left"/>
              <w:rPr>
                <w:color w:val="000000"/>
                <w:sz w:val="24"/>
                <w:szCs w:val="24"/>
              </w:rPr>
            </w:pPr>
            <w:r>
              <w:rPr>
                <w:rFonts w:hint="eastAsia"/>
                <w:color w:val="000000"/>
                <w:sz w:val="24"/>
                <w:szCs w:val="24"/>
              </w:rPr>
              <w:t>4、支持最大分辨率达到4Kx2K，支持无缝切换功能，切换过程无黑屏信号，支持1路RS-232.1路RS-485.1路wifi(手机APP）、1路网口（网页）、1路TCP/IP端口（PC软件），支持外接面板控制接口，支持音视频信号同步切换，支持模拟音频与HDMI内嵌音频选择输入，支持模拟音频与HDMI内嵌音频同时输出；</w:t>
            </w:r>
          </w:p>
          <w:p>
            <w:pPr>
              <w:widowControl/>
              <w:jc w:val="left"/>
              <w:rPr>
                <w:color w:val="000000"/>
                <w:sz w:val="24"/>
                <w:szCs w:val="24"/>
              </w:rPr>
            </w:pPr>
            <w:r>
              <w:rPr>
                <w:rFonts w:hint="eastAsia"/>
                <w:color w:val="000000"/>
                <w:sz w:val="24"/>
                <w:szCs w:val="24"/>
              </w:rPr>
              <w:t>5、HDBaseT输入输出信号支持双向 RS-232 和双向 IR 信号传输，可对RS-232和IR 信号选择随视频信号切换，或分离切换模式，支持扩展POC模块对外设供电；</w:t>
            </w:r>
          </w:p>
          <w:p>
            <w:pPr>
              <w:widowControl/>
              <w:jc w:val="left"/>
              <w:rPr>
                <w:rFonts w:hint="eastAsia" w:ascii="宋体" w:cs="宋体"/>
                <w:color w:val="000000"/>
                <w:kern w:val="0"/>
                <w:sz w:val="24"/>
                <w:szCs w:val="24"/>
                <w:lang w:bidi="ar-SA"/>
              </w:rPr>
            </w:pPr>
            <w:r>
              <w:rPr>
                <w:rFonts w:hint="eastAsia"/>
                <w:color w:val="000000"/>
                <w:sz w:val="24"/>
                <w:szCs w:val="24"/>
              </w:rPr>
              <w:t>6、支持断电记忆功能，支持智能温控，控制矩阵风扇的运行，系统内可存储多组预切换指令，调用时可以一键切换，支持KVM坐席管理功能，通过一套键盘鼠标显示器切换、管理多台计算机设备。</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台</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2</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高清无缝混插矩阵切换内嵌软件</w:t>
            </w:r>
          </w:p>
        </w:tc>
        <w:tc>
          <w:tcPr>
            <w:tcW w:w="5413" w:type="dxa"/>
            <w:noWrap w:val="0"/>
            <w:vAlign w:val="center"/>
          </w:tcPr>
          <w:p>
            <w:pPr>
              <w:widowControl/>
              <w:jc w:val="left"/>
              <w:rPr>
                <w:color w:val="000000"/>
                <w:sz w:val="24"/>
                <w:szCs w:val="24"/>
              </w:rPr>
            </w:pPr>
            <w:r>
              <w:rPr>
                <w:rFonts w:hint="eastAsia"/>
                <w:color w:val="000000"/>
                <w:sz w:val="24"/>
                <w:szCs w:val="24"/>
              </w:rPr>
              <w:t>1、软件内嵌于高清混插矩阵切换系统，实现各类高清晰数字/模拟信号的处理、切换等功能；</w:t>
            </w:r>
          </w:p>
          <w:p>
            <w:pPr>
              <w:widowControl/>
              <w:jc w:val="left"/>
              <w:rPr>
                <w:color w:val="000000"/>
                <w:sz w:val="24"/>
                <w:szCs w:val="24"/>
              </w:rPr>
            </w:pPr>
            <w:r>
              <w:rPr>
                <w:rFonts w:hint="eastAsia"/>
                <w:color w:val="000000"/>
                <w:sz w:val="24"/>
                <w:szCs w:val="24"/>
              </w:rPr>
              <w:t>2、支持分辨率高达1920×1080P@60Hz的处理能力，支持信号无缝切换，切换过程无黑屏信号，支持通过专业的PC上位机管理软件控制；</w:t>
            </w:r>
          </w:p>
          <w:p>
            <w:pPr>
              <w:widowControl/>
              <w:jc w:val="left"/>
              <w:rPr>
                <w:rFonts w:hint="eastAsia" w:ascii="宋体" w:cs="宋体"/>
                <w:color w:val="000000"/>
                <w:kern w:val="0"/>
                <w:sz w:val="24"/>
                <w:szCs w:val="24"/>
                <w:lang w:bidi="ar-SA"/>
              </w:rPr>
            </w:pPr>
            <w:r>
              <w:rPr>
                <w:rFonts w:hint="eastAsia"/>
                <w:color w:val="000000"/>
                <w:sz w:val="24"/>
                <w:szCs w:val="24"/>
              </w:rPr>
              <w:t>3、通过矩阵切换信号或通过软件切换信号。</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套</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3</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HDMI无缝高清输入卡</w:t>
            </w:r>
          </w:p>
        </w:tc>
        <w:tc>
          <w:tcPr>
            <w:tcW w:w="5413" w:type="dxa"/>
            <w:noWrap w:val="0"/>
            <w:vAlign w:val="center"/>
          </w:tcPr>
          <w:p>
            <w:pPr>
              <w:widowControl/>
              <w:jc w:val="left"/>
              <w:rPr>
                <w:color w:val="000000"/>
                <w:sz w:val="24"/>
                <w:szCs w:val="24"/>
              </w:rPr>
            </w:pPr>
            <w:r>
              <w:rPr>
                <w:rFonts w:hint="eastAsia"/>
                <w:color w:val="000000"/>
                <w:sz w:val="24"/>
                <w:szCs w:val="24"/>
              </w:rPr>
              <w:t>1、支持≥4路HDMI-A母接口和3.5mm音频座，支持快速无缝切换，无闪烁，无黑屏，支持断电现场切换记忆保护功能，特有ESD静电保护功能；</w:t>
            </w:r>
          </w:p>
          <w:p>
            <w:pPr>
              <w:widowControl/>
              <w:jc w:val="left"/>
              <w:rPr>
                <w:color w:val="000000"/>
                <w:sz w:val="24"/>
                <w:szCs w:val="24"/>
              </w:rPr>
            </w:pPr>
            <w:r>
              <w:rPr>
                <w:rFonts w:hint="eastAsia"/>
                <w:color w:val="000000"/>
                <w:sz w:val="24"/>
                <w:szCs w:val="24"/>
              </w:rPr>
              <w:t xml:space="preserve">2、支持模拟音频与HDMI内嵌音频选择输入，兼容HDMI1.3a的标准，HDCP1.3协议，DVI1.0协议； </w:t>
            </w:r>
          </w:p>
          <w:p>
            <w:pPr>
              <w:widowControl/>
              <w:jc w:val="left"/>
              <w:rPr>
                <w:rFonts w:hint="eastAsia" w:ascii="宋体" w:cs="宋体"/>
                <w:color w:val="000000"/>
                <w:kern w:val="0"/>
                <w:sz w:val="24"/>
                <w:szCs w:val="24"/>
                <w:lang w:bidi="ar-SA"/>
              </w:rPr>
            </w:pPr>
            <w:r>
              <w:rPr>
                <w:rFonts w:hint="eastAsia"/>
                <w:color w:val="000000"/>
                <w:sz w:val="24"/>
                <w:szCs w:val="24"/>
              </w:rPr>
              <w:t>3、最大支持分辨率：≥1920X1200P@60，支持热插拔。</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2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块</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4</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HDMI无缝高清输出卡</w:t>
            </w:r>
          </w:p>
        </w:tc>
        <w:tc>
          <w:tcPr>
            <w:tcW w:w="5413" w:type="dxa"/>
            <w:noWrap w:val="0"/>
            <w:vAlign w:val="center"/>
          </w:tcPr>
          <w:p>
            <w:pPr>
              <w:widowControl/>
              <w:jc w:val="left"/>
              <w:rPr>
                <w:color w:val="000000"/>
                <w:sz w:val="24"/>
                <w:szCs w:val="24"/>
              </w:rPr>
            </w:pPr>
            <w:r>
              <w:rPr>
                <w:rFonts w:hint="eastAsia"/>
                <w:color w:val="000000"/>
                <w:sz w:val="24"/>
                <w:szCs w:val="24"/>
              </w:rPr>
              <w:t>1、支持≥4路HDMI-A母接口和3.5mm音频座，支持快速无缝切换，无闪烁，无黑屏，支持断电现场切换记忆保护功能，特有ESD静电保护功能，支持模拟音频与HDMI内嵌音频同时输出；</w:t>
            </w:r>
          </w:p>
          <w:p>
            <w:pPr>
              <w:widowControl/>
              <w:jc w:val="left"/>
              <w:rPr>
                <w:color w:val="000000"/>
                <w:sz w:val="24"/>
                <w:szCs w:val="24"/>
              </w:rPr>
            </w:pPr>
            <w:r>
              <w:rPr>
                <w:rFonts w:hint="eastAsia"/>
                <w:color w:val="000000"/>
                <w:sz w:val="24"/>
                <w:szCs w:val="24"/>
              </w:rPr>
              <w:t>2、兼容HDMI1.3a的标准，HDCP1.3协议，DVI1.0协议；</w:t>
            </w:r>
          </w:p>
          <w:p>
            <w:pPr>
              <w:widowControl/>
              <w:jc w:val="left"/>
              <w:rPr>
                <w:rFonts w:hint="eastAsia" w:ascii="宋体" w:cs="宋体"/>
                <w:color w:val="000000"/>
                <w:kern w:val="0"/>
                <w:sz w:val="24"/>
                <w:szCs w:val="24"/>
                <w:lang w:bidi="ar-SA"/>
              </w:rPr>
            </w:pPr>
            <w:r>
              <w:rPr>
                <w:rFonts w:hint="eastAsia"/>
                <w:color w:val="000000"/>
                <w:sz w:val="24"/>
                <w:szCs w:val="24"/>
              </w:rPr>
              <w:t>3、支持倍线功能，最高分辨率支持1080P，支持热插拔。</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2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块</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5</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矩阵输入/输出板卡内嵌软件</w:t>
            </w:r>
          </w:p>
        </w:tc>
        <w:tc>
          <w:tcPr>
            <w:tcW w:w="5413" w:type="dxa"/>
            <w:noWrap w:val="0"/>
            <w:vAlign w:val="center"/>
          </w:tcPr>
          <w:p>
            <w:pPr>
              <w:widowControl/>
              <w:jc w:val="left"/>
              <w:rPr>
                <w:rFonts w:hint="eastAsia" w:ascii="宋体" w:cs="宋体"/>
                <w:color w:val="000000"/>
                <w:kern w:val="0"/>
                <w:sz w:val="24"/>
                <w:szCs w:val="24"/>
                <w:lang w:bidi="ar-SA"/>
              </w:rPr>
            </w:pPr>
            <w:r>
              <w:rPr>
                <w:rFonts w:hint="eastAsia"/>
                <w:color w:val="000000"/>
                <w:sz w:val="24"/>
                <w:szCs w:val="24"/>
              </w:rPr>
              <w:t>1、软件内嵌于高清矩阵系统板卡设备，实现信号的处理功能；</w:t>
            </w:r>
            <w:r>
              <w:rPr>
                <w:rFonts w:hint="eastAsia"/>
                <w:color w:val="000000"/>
                <w:sz w:val="24"/>
                <w:szCs w:val="24"/>
              </w:rPr>
              <w:br w:type="textWrapping"/>
            </w:r>
            <w:r>
              <w:rPr>
                <w:rFonts w:hint="eastAsia"/>
                <w:color w:val="000000"/>
                <w:sz w:val="24"/>
                <w:szCs w:val="24"/>
              </w:rPr>
              <w:t>2、支持分辨率高达1920×1080P@60Hz的处理能力；</w:t>
            </w:r>
            <w:r>
              <w:rPr>
                <w:rFonts w:hint="eastAsia"/>
                <w:color w:val="000000"/>
                <w:sz w:val="24"/>
                <w:szCs w:val="24"/>
              </w:rPr>
              <w:br w:type="textWrapping"/>
            </w:r>
            <w:r>
              <w:rPr>
                <w:rFonts w:hint="eastAsia"/>
                <w:color w:val="000000"/>
                <w:sz w:val="24"/>
                <w:szCs w:val="24"/>
              </w:rPr>
              <w:t>3、通过矩阵切换信号或通过软件切换信号。</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4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套</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6</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机柜</w:t>
            </w:r>
          </w:p>
        </w:tc>
        <w:tc>
          <w:tcPr>
            <w:tcW w:w="5413" w:type="dxa"/>
            <w:noWrap w:val="0"/>
            <w:vAlign w:val="center"/>
          </w:tcPr>
          <w:p>
            <w:pPr>
              <w:widowControl/>
              <w:jc w:val="left"/>
              <w:rPr>
                <w:rFonts w:hint="eastAsia" w:ascii="宋体" w:cs="宋体"/>
                <w:color w:val="000000"/>
                <w:kern w:val="0"/>
                <w:sz w:val="24"/>
                <w:szCs w:val="24"/>
                <w:lang w:bidi="ar-SA"/>
              </w:rPr>
            </w:pPr>
            <w:r>
              <w:rPr>
                <w:rFonts w:hint="eastAsia"/>
                <w:color w:val="000000"/>
                <w:sz w:val="24"/>
                <w:szCs w:val="24"/>
              </w:rPr>
              <w:t>1、前门为弓形玻璃门，前门框开椭圆通风装饰网孔，后门为网孔双开门，全透风顶，在前门和后门提供足够电缆管理空间，封闭式的电缆管理，电缆从顶部或底部进入，可调整的19英寸安装柱，可以安装目前市场上所有型号的服务器，前后门装有</w:t>
            </w:r>
            <w:r>
              <w:rPr>
                <w:rFonts w:hint="eastAsia"/>
                <w:color w:val="000000"/>
                <w:sz w:val="24"/>
                <w:szCs w:val="24"/>
                <w:lang w:eastAsia="zh-CN"/>
              </w:rPr>
              <w:t>主流</w:t>
            </w:r>
            <w:r>
              <w:rPr>
                <w:rFonts w:hint="eastAsia"/>
                <w:color w:val="000000"/>
                <w:sz w:val="24"/>
                <w:szCs w:val="24"/>
              </w:rPr>
              <w:t>名牌摇把锁；</w:t>
            </w:r>
            <w:r>
              <w:rPr>
                <w:rFonts w:hint="eastAsia"/>
                <w:color w:val="000000"/>
                <w:sz w:val="24"/>
                <w:szCs w:val="24"/>
              </w:rPr>
              <w:br w:type="textWrapping"/>
            </w:r>
            <w:r>
              <w:rPr>
                <w:color w:val="000000"/>
                <w:sz w:val="24"/>
                <w:szCs w:val="24"/>
              </w:rPr>
              <w:t>2</w:t>
            </w:r>
            <w:r>
              <w:rPr>
                <w:rFonts w:hint="eastAsia"/>
                <w:color w:val="000000"/>
                <w:sz w:val="24"/>
                <w:szCs w:val="24"/>
              </w:rPr>
              <w:t>、整体可靠接地，可拆卸的侧门，整体拼装结构，骨架/立柱/门：料厚1.5MM/1.8MM/1.2MM，顶部风扇盘。</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台</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7</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其他辅材</w:t>
            </w:r>
          </w:p>
        </w:tc>
        <w:tc>
          <w:tcPr>
            <w:tcW w:w="5413" w:type="dxa"/>
            <w:noWrap w:val="0"/>
            <w:vAlign w:val="center"/>
          </w:tcPr>
          <w:p>
            <w:pPr>
              <w:widowControl/>
              <w:jc w:val="left"/>
              <w:rPr>
                <w:rFonts w:hint="eastAsia" w:ascii="宋体" w:cs="宋体"/>
                <w:color w:val="000000"/>
                <w:kern w:val="0"/>
                <w:sz w:val="24"/>
                <w:szCs w:val="24"/>
                <w:lang w:bidi="ar-SA"/>
              </w:rPr>
            </w:pPr>
            <w:r>
              <w:rPr>
                <w:rFonts w:hint="eastAsia"/>
                <w:color w:val="000000"/>
                <w:sz w:val="24"/>
                <w:szCs w:val="24"/>
              </w:rPr>
              <w:t>包括：红外发生棒、桌插、音频连接线、音频连接线、网线、水晶头、HDMI视频线、音频线、电源线、管材等。</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套</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076" w:type="dxa"/>
            <w:gridSpan w:val="3"/>
            <w:noWrap w:val="0"/>
            <w:vAlign w:val="center"/>
          </w:tcPr>
          <w:p>
            <w:pPr>
              <w:widowControl/>
              <w:jc w:val="left"/>
              <w:rPr>
                <w:rFonts w:hint="eastAsia" w:ascii="宋体" w:cs="宋体"/>
                <w:b/>
                <w:bCs/>
                <w:color w:val="000000"/>
                <w:kern w:val="0"/>
                <w:sz w:val="24"/>
                <w:szCs w:val="24"/>
                <w:lang w:bidi="ar-SA"/>
              </w:rPr>
            </w:pPr>
            <w:r>
              <w:rPr>
                <w:rFonts w:hint="eastAsia" w:ascii="宋体" w:cs="宋体"/>
                <w:b/>
                <w:bCs/>
                <w:color w:val="000000"/>
                <w:kern w:val="0"/>
                <w:sz w:val="24"/>
                <w:szCs w:val="24"/>
                <w:lang w:bidi="ar-SA"/>
              </w:rPr>
              <w:t>十）行政效能监控</w:t>
            </w:r>
          </w:p>
        </w:tc>
        <w:tc>
          <w:tcPr>
            <w:tcW w:w="640" w:type="dxa"/>
            <w:noWrap w:val="0"/>
            <w:vAlign w:val="center"/>
          </w:tcPr>
          <w:p>
            <w:pPr>
              <w:widowControl/>
              <w:jc w:val="center"/>
              <w:rPr>
                <w:rFonts w:hint="eastAsia" w:ascii="宋体" w:cs="宋体"/>
                <w:b/>
                <w:bCs/>
                <w:color w:val="000000"/>
                <w:kern w:val="0"/>
                <w:sz w:val="24"/>
                <w:szCs w:val="24"/>
                <w:lang w:bidi="ar-SA"/>
              </w:rPr>
            </w:pPr>
            <w:r>
              <w:rPr>
                <w:rFonts w:hint="eastAsia" w:ascii="宋体" w:cs="宋体"/>
                <w:b/>
                <w:bCs/>
                <w:color w:val="000000"/>
                <w:kern w:val="0"/>
                <w:sz w:val="24"/>
                <w:szCs w:val="24"/>
                <w:lang w:bidi="ar-SA"/>
              </w:rPr>
              <w:t>　</w:t>
            </w:r>
          </w:p>
        </w:tc>
        <w:tc>
          <w:tcPr>
            <w:tcW w:w="656" w:type="dxa"/>
            <w:noWrap w:val="0"/>
            <w:vAlign w:val="center"/>
          </w:tcPr>
          <w:p>
            <w:pPr>
              <w:widowControl/>
              <w:jc w:val="left"/>
              <w:rPr>
                <w:rFonts w:hint="eastAsia" w:ascii="宋体" w:cs="宋体"/>
                <w:b/>
                <w:bCs/>
                <w:color w:val="000000"/>
                <w:kern w:val="0"/>
                <w:sz w:val="24"/>
                <w:szCs w:val="24"/>
                <w:lang w:bidi="ar-SA"/>
              </w:rPr>
            </w:pPr>
            <w:r>
              <w:rPr>
                <w:rFonts w:hint="eastAsia" w:ascii="宋体" w:cs="宋体"/>
                <w:b/>
                <w:bCs/>
                <w:color w:val="000000"/>
                <w:kern w:val="0"/>
                <w:sz w:val="24"/>
                <w:szCs w:val="24"/>
                <w:lang w:bidi="ar-SA"/>
              </w:rPr>
              <w:t>　</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1</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高清红外枪式摄像机</w:t>
            </w:r>
          </w:p>
        </w:tc>
        <w:tc>
          <w:tcPr>
            <w:tcW w:w="5413" w:type="dxa"/>
            <w:noWrap w:val="0"/>
            <w:vAlign w:val="center"/>
          </w:tcPr>
          <w:p>
            <w:pPr>
              <w:widowControl/>
              <w:jc w:val="left"/>
              <w:rPr>
                <w:color w:val="000000"/>
                <w:sz w:val="24"/>
                <w:szCs w:val="24"/>
              </w:rPr>
            </w:pPr>
            <w:r>
              <w:rPr>
                <w:rFonts w:hint="eastAsia"/>
                <w:color w:val="000000"/>
                <w:sz w:val="24"/>
                <w:szCs w:val="24"/>
              </w:rPr>
              <w:t>1、内置GPU芯片，支持深度学习算法，有效提升检测准确率 ；</w:t>
            </w:r>
          </w:p>
          <w:p>
            <w:pPr>
              <w:widowControl/>
              <w:jc w:val="left"/>
              <w:rPr>
                <w:color w:val="000000"/>
                <w:sz w:val="24"/>
                <w:szCs w:val="24"/>
              </w:rPr>
            </w:pPr>
            <w:r>
              <w:rPr>
                <w:rFonts w:hint="eastAsia"/>
                <w:color w:val="000000"/>
                <w:sz w:val="24"/>
                <w:szCs w:val="24"/>
              </w:rPr>
              <w:t>2、支持三种智能资源切换：通用行为分析、人脸检测、人数统计，支持人脸检测：支持跟踪，支持优选，支持抓拍，支持上报最优的人脸抓图，支持人脸增强，人脸曝光，支持智能侦测：区域入侵，绊线入侵，快速移动（可精准检测），物品遗留，物品搬移，徘徊检测，人员聚集，热度图，支持声光报警联动，当报警产生时，可触发联动声音警报和灯光闪烁；</w:t>
            </w:r>
          </w:p>
          <w:p>
            <w:pPr>
              <w:widowControl/>
              <w:jc w:val="left"/>
              <w:rPr>
                <w:color w:val="000000"/>
                <w:sz w:val="24"/>
                <w:szCs w:val="24"/>
              </w:rPr>
            </w:pPr>
            <w:r>
              <w:rPr>
                <w:color w:val="000000"/>
                <w:sz w:val="24"/>
                <w:szCs w:val="24"/>
              </w:rPr>
              <w:t>3</w:t>
            </w:r>
            <w:r>
              <w:rPr>
                <w:rFonts w:hint="eastAsia"/>
                <w:color w:val="000000"/>
                <w:sz w:val="24"/>
                <w:szCs w:val="24"/>
              </w:rPr>
              <w:t>、支持人数统计：支持进入/离开人数统计，并可生成人数统计日/月/年报表，导出使用；支持排队管理；支持区域内人数统计；</w:t>
            </w:r>
          </w:p>
          <w:p>
            <w:pPr>
              <w:widowControl/>
              <w:jc w:val="left"/>
              <w:rPr>
                <w:color w:val="000000"/>
                <w:sz w:val="24"/>
                <w:szCs w:val="24"/>
              </w:rPr>
            </w:pPr>
            <w:r>
              <w:rPr>
                <w:color w:val="000000"/>
                <w:sz w:val="24"/>
                <w:szCs w:val="24"/>
              </w:rPr>
              <w:t>4</w:t>
            </w:r>
            <w:r>
              <w:rPr>
                <w:rFonts w:hint="eastAsia"/>
                <w:color w:val="000000"/>
                <w:sz w:val="24"/>
                <w:szCs w:val="24"/>
              </w:rPr>
              <w:t>、采用星光级低照度400万像素1/2.7英寸CMOS图像传感器，低照度效果好，图像清晰度高最大可输出400万(2688×1520)@25fps；</w:t>
            </w:r>
          </w:p>
          <w:p>
            <w:pPr>
              <w:widowControl/>
              <w:jc w:val="left"/>
              <w:rPr>
                <w:color w:val="000000"/>
                <w:sz w:val="24"/>
                <w:szCs w:val="24"/>
              </w:rPr>
            </w:pPr>
            <w:r>
              <w:rPr>
                <w:color w:val="000000"/>
                <w:sz w:val="24"/>
                <w:szCs w:val="24"/>
              </w:rPr>
              <w:t>5</w:t>
            </w:r>
            <w:r>
              <w:rPr>
                <w:rFonts w:hint="eastAsia"/>
                <w:color w:val="000000"/>
                <w:sz w:val="24"/>
                <w:szCs w:val="24"/>
              </w:rPr>
              <w:t>、支持H.265编码，压缩比高，实现超低码流传输 ，内置高效暖光灯和红外补光灯，最大红外监控距离80米，最大暖光监控距离30米，支持走廊模式，宽动态，3D降噪，强光抑制，背光补偿，数字水印，适用不同监控环境</w:t>
            </w:r>
            <w:r>
              <w:rPr>
                <w:rFonts w:hint="eastAsia"/>
                <w:color w:val="000000"/>
                <w:sz w:val="24"/>
                <w:szCs w:val="24"/>
              </w:rPr>
              <w:br w:type="textWrapping"/>
            </w:r>
            <w:r>
              <w:rPr>
                <w:rFonts w:hint="eastAsia"/>
                <w:color w:val="000000"/>
                <w:sz w:val="24"/>
                <w:szCs w:val="24"/>
              </w:rPr>
              <w:t>支持ROI，SVC，SMART H.264/H.265，帧前滤波，灵活编码，适用不同带宽和存储环境，支持一键撤防，可在自定义设置的时间段内对报警输出，邮件，音频，灯光等事件联动项进行统一撤防控制；</w:t>
            </w:r>
          </w:p>
          <w:p>
            <w:pPr>
              <w:widowControl/>
              <w:jc w:val="left"/>
              <w:rPr>
                <w:color w:val="000000"/>
                <w:sz w:val="24"/>
                <w:szCs w:val="24"/>
              </w:rPr>
            </w:pPr>
            <w:r>
              <w:rPr>
                <w:color w:val="000000"/>
                <w:sz w:val="24"/>
                <w:szCs w:val="24"/>
              </w:rPr>
              <w:t>6</w:t>
            </w:r>
            <w:r>
              <w:rPr>
                <w:rFonts w:hint="eastAsia"/>
                <w:color w:val="000000"/>
                <w:sz w:val="24"/>
                <w:szCs w:val="24"/>
              </w:rPr>
              <w:t>、内置MIC和扬声器，最大支持256G Micro SD卡，支持DC12V/POE供电方式，支持IP67防护等级。</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7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台</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2</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拾音器</w:t>
            </w:r>
          </w:p>
        </w:tc>
        <w:tc>
          <w:tcPr>
            <w:tcW w:w="5413" w:type="dxa"/>
            <w:noWrap w:val="0"/>
            <w:vAlign w:val="center"/>
          </w:tcPr>
          <w:p>
            <w:pPr>
              <w:widowControl/>
              <w:rPr>
                <w:color w:val="000000"/>
                <w:sz w:val="24"/>
                <w:szCs w:val="24"/>
              </w:rPr>
            </w:pPr>
            <w:r>
              <w:rPr>
                <w:rFonts w:hint="eastAsia"/>
                <w:color w:val="000000"/>
                <w:sz w:val="24"/>
                <w:szCs w:val="24"/>
              </w:rPr>
              <w:t>1、拾音范围1-150平方米\音频传输距离3000米，频率响应20Hz～20KHz\灵敏度-38dB\信噪比85dB（1米40dB音源SPL）52dB(10米40dB音源SPL)1KHzat1Pa，全方向性\动态范围106dB（1kHzatMaxdBSPL）；</w:t>
            </w:r>
          </w:p>
          <w:p>
            <w:pPr>
              <w:widowControl/>
              <w:rPr>
                <w:color w:val="000000"/>
                <w:sz w:val="24"/>
                <w:szCs w:val="24"/>
              </w:rPr>
            </w:pPr>
            <w:r>
              <w:rPr>
                <w:rFonts w:hint="eastAsia"/>
                <w:color w:val="000000"/>
                <w:sz w:val="24"/>
                <w:szCs w:val="24"/>
              </w:rPr>
              <w:t>2、最大承受音压120dBSPL（1KHz,THD1%），输出阻抗25欧姆非平衡\高保真微机电系统(mems）硅麦克风\数字降噪、去混响、人声增强、啸叫抑制\8KVAir，6KVcontactESD雷击保护、电源极性反接保护\内置前置放大电路，可直接驱动耳机\3条引线：（电源、音频、公共地）；</w:t>
            </w:r>
          </w:p>
          <w:p>
            <w:pPr>
              <w:widowControl/>
              <w:rPr>
                <w:rFonts w:hint="eastAsia" w:ascii="宋体" w:cs="宋体"/>
                <w:color w:val="000000"/>
                <w:kern w:val="0"/>
                <w:sz w:val="24"/>
                <w:szCs w:val="24"/>
                <w:lang w:bidi="ar-SA"/>
              </w:rPr>
            </w:pPr>
            <w:r>
              <w:rPr>
                <w:color w:val="000000"/>
                <w:sz w:val="24"/>
                <w:szCs w:val="24"/>
              </w:rPr>
              <w:t>3</w:t>
            </w:r>
            <w:r>
              <w:rPr>
                <w:rFonts w:hint="eastAsia"/>
                <w:color w:val="000000"/>
                <w:sz w:val="24"/>
                <w:szCs w:val="24"/>
              </w:rPr>
              <w:t>、直流稳压电源DC-12V（9V-18V）\电源电流50mA\工作环境温度-20℃～60℃。</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7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个</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3</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辅材</w:t>
            </w:r>
          </w:p>
        </w:tc>
        <w:tc>
          <w:tcPr>
            <w:tcW w:w="5413" w:type="dxa"/>
            <w:noWrap w:val="0"/>
            <w:vAlign w:val="center"/>
          </w:tcPr>
          <w:p>
            <w:pPr>
              <w:widowControl/>
              <w:jc w:val="left"/>
              <w:rPr>
                <w:rFonts w:hint="eastAsia" w:ascii="宋体" w:cs="宋体"/>
                <w:color w:val="000000"/>
                <w:kern w:val="0"/>
                <w:sz w:val="24"/>
                <w:szCs w:val="24"/>
                <w:lang w:bidi="ar-SA"/>
              </w:rPr>
            </w:pPr>
            <w:r>
              <w:rPr>
                <w:rFonts w:hint="eastAsia"/>
                <w:color w:val="000000"/>
                <w:sz w:val="24"/>
                <w:szCs w:val="24"/>
              </w:rPr>
              <w:t>相关辅材及安装，具体包括：摄像头安装支架</w:t>
            </w:r>
            <w:r>
              <w:rPr>
                <w:color w:val="000000"/>
                <w:sz w:val="24"/>
                <w:szCs w:val="24"/>
              </w:rPr>
              <w:t>*7</w:t>
            </w:r>
            <w:r>
              <w:rPr>
                <w:rFonts w:hint="eastAsia"/>
                <w:color w:val="000000"/>
                <w:sz w:val="24"/>
                <w:szCs w:val="24"/>
              </w:rPr>
              <w:t>个；电源电缆（</w:t>
            </w:r>
            <w:r>
              <w:rPr>
                <w:color w:val="000000"/>
                <w:sz w:val="24"/>
                <w:szCs w:val="24"/>
              </w:rPr>
              <w:t>RVV 3*1.5 20m</w:t>
            </w:r>
            <w:r>
              <w:rPr>
                <w:rFonts w:hint="eastAsia"/>
                <w:color w:val="000000"/>
                <w:sz w:val="24"/>
                <w:szCs w:val="24"/>
              </w:rPr>
              <w:t>）；音频线缆（</w:t>
            </w:r>
            <w:r>
              <w:rPr>
                <w:color w:val="000000"/>
                <w:sz w:val="24"/>
                <w:szCs w:val="24"/>
              </w:rPr>
              <w:t>RVVP2*1.5</w:t>
            </w:r>
            <w:r>
              <w:rPr>
                <w:rFonts w:hint="eastAsia"/>
                <w:color w:val="000000"/>
                <w:sz w:val="24"/>
                <w:szCs w:val="24"/>
              </w:rPr>
              <w:t>，</w:t>
            </w:r>
            <w:r>
              <w:rPr>
                <w:color w:val="000000"/>
                <w:sz w:val="24"/>
                <w:szCs w:val="24"/>
              </w:rPr>
              <w:t>20m</w:t>
            </w:r>
            <w:r>
              <w:rPr>
                <w:rFonts w:hint="eastAsia"/>
                <w:color w:val="000000"/>
                <w:sz w:val="24"/>
                <w:szCs w:val="24"/>
              </w:rPr>
              <w:t>）；网线（六类非屏蔽）</w:t>
            </w:r>
            <w:r>
              <w:rPr>
                <w:color w:val="000000"/>
                <w:sz w:val="24"/>
                <w:szCs w:val="24"/>
              </w:rPr>
              <w:t>*350m</w:t>
            </w:r>
            <w:r>
              <w:rPr>
                <w:rFonts w:hint="eastAsia"/>
                <w:color w:val="000000"/>
                <w:sz w:val="24"/>
                <w:szCs w:val="24"/>
              </w:rPr>
              <w:t>等。</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套</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076" w:type="dxa"/>
            <w:gridSpan w:val="3"/>
            <w:noWrap w:val="0"/>
            <w:vAlign w:val="center"/>
          </w:tcPr>
          <w:p>
            <w:pPr>
              <w:widowControl/>
              <w:jc w:val="left"/>
              <w:rPr>
                <w:rFonts w:hint="eastAsia" w:ascii="宋体" w:cs="宋体"/>
                <w:b/>
                <w:bCs/>
                <w:color w:val="000000"/>
                <w:kern w:val="0"/>
                <w:sz w:val="24"/>
                <w:szCs w:val="24"/>
                <w:lang w:bidi="ar-SA"/>
              </w:rPr>
            </w:pPr>
            <w:r>
              <w:rPr>
                <w:rFonts w:hint="eastAsia" w:ascii="宋体" w:cs="宋体"/>
                <w:b/>
                <w:bCs/>
                <w:color w:val="000000"/>
                <w:kern w:val="0"/>
                <w:sz w:val="24"/>
                <w:szCs w:val="24"/>
                <w:lang w:bidi="ar-SA"/>
              </w:rPr>
              <w:t>十一）安防监控</w:t>
            </w:r>
          </w:p>
        </w:tc>
        <w:tc>
          <w:tcPr>
            <w:tcW w:w="640" w:type="dxa"/>
            <w:noWrap w:val="0"/>
            <w:vAlign w:val="center"/>
          </w:tcPr>
          <w:p>
            <w:pPr>
              <w:widowControl/>
              <w:jc w:val="center"/>
              <w:rPr>
                <w:rFonts w:hint="eastAsia" w:ascii="宋体" w:cs="宋体"/>
                <w:b/>
                <w:bCs/>
                <w:color w:val="000000"/>
                <w:kern w:val="0"/>
                <w:sz w:val="24"/>
                <w:szCs w:val="24"/>
                <w:lang w:bidi="ar-SA"/>
              </w:rPr>
            </w:pPr>
            <w:r>
              <w:rPr>
                <w:rFonts w:hint="eastAsia" w:ascii="宋体" w:cs="宋体"/>
                <w:b/>
                <w:bCs/>
                <w:color w:val="000000"/>
                <w:kern w:val="0"/>
                <w:sz w:val="24"/>
                <w:szCs w:val="24"/>
                <w:lang w:bidi="ar-SA"/>
              </w:rPr>
              <w:t>　</w:t>
            </w:r>
          </w:p>
        </w:tc>
        <w:tc>
          <w:tcPr>
            <w:tcW w:w="656" w:type="dxa"/>
            <w:noWrap w:val="0"/>
            <w:vAlign w:val="center"/>
          </w:tcPr>
          <w:p>
            <w:pPr>
              <w:widowControl/>
              <w:jc w:val="left"/>
              <w:rPr>
                <w:rFonts w:hint="eastAsia" w:ascii="宋体" w:cs="宋体"/>
                <w:b/>
                <w:bCs/>
                <w:color w:val="000000"/>
                <w:kern w:val="0"/>
                <w:sz w:val="24"/>
                <w:szCs w:val="24"/>
                <w:lang w:bidi="ar-SA"/>
              </w:rPr>
            </w:pPr>
            <w:r>
              <w:rPr>
                <w:rFonts w:hint="eastAsia" w:ascii="宋体" w:cs="宋体"/>
                <w:b/>
                <w:bCs/>
                <w:color w:val="000000"/>
                <w:kern w:val="0"/>
                <w:sz w:val="24"/>
                <w:szCs w:val="24"/>
                <w:lang w:bidi="ar-SA"/>
              </w:rPr>
              <w:t>　</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1</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半球型摄像机</w:t>
            </w:r>
          </w:p>
        </w:tc>
        <w:tc>
          <w:tcPr>
            <w:tcW w:w="5413" w:type="dxa"/>
            <w:noWrap w:val="0"/>
            <w:vAlign w:val="bottom"/>
          </w:tcPr>
          <w:p>
            <w:pPr>
              <w:widowControl/>
              <w:rPr>
                <w:color w:val="000000"/>
                <w:sz w:val="24"/>
                <w:szCs w:val="24"/>
              </w:rPr>
            </w:pPr>
            <w:r>
              <w:rPr>
                <w:rFonts w:hint="eastAsia"/>
                <w:color w:val="000000"/>
                <w:sz w:val="24"/>
                <w:szCs w:val="24"/>
              </w:rPr>
              <w:t>1、支持绊线入侵，区域入侵，采用高性能200万像素1/2.8英寸CMOS图像传感器，低照度效果好，图像清晰度高可输出200万（1920×1080）@25fp；</w:t>
            </w:r>
          </w:p>
          <w:p>
            <w:pPr>
              <w:widowControl/>
              <w:rPr>
                <w:color w:val="000000"/>
                <w:sz w:val="24"/>
                <w:szCs w:val="24"/>
              </w:rPr>
            </w:pPr>
            <w:r>
              <w:rPr>
                <w:rFonts w:hint="eastAsia"/>
                <w:color w:val="000000"/>
                <w:sz w:val="24"/>
                <w:szCs w:val="24"/>
              </w:rPr>
              <w:t>2、支持H.265编码，压缩比高，实现超低码流传输内置红外补光灯，最大红外监控距离30米，支持走廊模式，宽动态，3D降噪，强光抑制，背光补偿，数字水印，适用不同监控环境，支持ROI，SMART H.264/H.265，灵活编码，适用不同带宽和存储环境/6支持报警2进2出，音频1进1出，256G Micro SD卡；</w:t>
            </w:r>
          </w:p>
          <w:p>
            <w:pPr>
              <w:widowControl/>
              <w:rPr>
                <w:color w:val="000000"/>
                <w:sz w:val="24"/>
                <w:szCs w:val="24"/>
              </w:rPr>
            </w:pPr>
            <w:r>
              <w:rPr>
                <w:color w:val="000000"/>
                <w:sz w:val="24"/>
                <w:szCs w:val="24"/>
              </w:rPr>
              <w:t>3</w:t>
            </w:r>
            <w:r>
              <w:rPr>
                <w:rFonts w:hint="eastAsia"/>
                <w:color w:val="000000"/>
                <w:sz w:val="24"/>
                <w:szCs w:val="24"/>
              </w:rPr>
              <w:t>、支持DC12V/POE供电方式，支持DC12V电源返送，最大电流165mA，电压值12V方便工程安装，支持IP67，IK10防护等级。</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13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台</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2</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辅材</w:t>
            </w:r>
          </w:p>
        </w:tc>
        <w:tc>
          <w:tcPr>
            <w:tcW w:w="5413"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相关辅材及安装，具体包括：摄像头安装支架*7个；电源电缆（RVV 3*1.5 20m）；音频线缆（RVVP2*1.5，20m）；网线（六类非屏蔽）*350m等。</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套</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076" w:type="dxa"/>
            <w:gridSpan w:val="3"/>
            <w:noWrap w:val="0"/>
            <w:vAlign w:val="center"/>
          </w:tcPr>
          <w:p>
            <w:pPr>
              <w:widowControl/>
              <w:jc w:val="left"/>
              <w:rPr>
                <w:rFonts w:hint="eastAsia" w:ascii="宋体" w:cs="宋体"/>
                <w:b/>
                <w:bCs/>
                <w:color w:val="000000"/>
                <w:kern w:val="0"/>
                <w:sz w:val="24"/>
                <w:szCs w:val="24"/>
                <w:lang w:bidi="ar-SA"/>
              </w:rPr>
            </w:pPr>
            <w:r>
              <w:rPr>
                <w:rFonts w:hint="eastAsia" w:ascii="宋体" w:cs="宋体"/>
                <w:b/>
                <w:bCs/>
                <w:color w:val="000000"/>
                <w:kern w:val="0"/>
                <w:sz w:val="24"/>
                <w:szCs w:val="24"/>
                <w:lang w:bidi="ar-SA"/>
              </w:rPr>
              <w:t>十二）视频监控室设备</w:t>
            </w:r>
          </w:p>
        </w:tc>
        <w:tc>
          <w:tcPr>
            <w:tcW w:w="640" w:type="dxa"/>
            <w:noWrap w:val="0"/>
            <w:vAlign w:val="center"/>
          </w:tcPr>
          <w:p>
            <w:pPr>
              <w:widowControl/>
              <w:jc w:val="center"/>
              <w:rPr>
                <w:rFonts w:hint="eastAsia" w:ascii="宋体" w:cs="宋体"/>
                <w:b/>
                <w:bCs/>
                <w:color w:val="000000"/>
                <w:kern w:val="0"/>
                <w:sz w:val="24"/>
                <w:szCs w:val="24"/>
                <w:lang w:bidi="ar-SA"/>
              </w:rPr>
            </w:pPr>
            <w:r>
              <w:rPr>
                <w:rFonts w:hint="eastAsia" w:ascii="宋体" w:cs="宋体"/>
                <w:b/>
                <w:bCs/>
                <w:color w:val="000000"/>
                <w:kern w:val="0"/>
                <w:sz w:val="24"/>
                <w:szCs w:val="24"/>
                <w:lang w:bidi="ar-SA"/>
              </w:rPr>
              <w:t>　</w:t>
            </w:r>
          </w:p>
        </w:tc>
        <w:tc>
          <w:tcPr>
            <w:tcW w:w="656" w:type="dxa"/>
            <w:noWrap w:val="0"/>
            <w:vAlign w:val="center"/>
          </w:tcPr>
          <w:p>
            <w:pPr>
              <w:widowControl/>
              <w:jc w:val="left"/>
              <w:rPr>
                <w:rFonts w:hint="eastAsia" w:ascii="宋体" w:cs="宋体"/>
                <w:b/>
                <w:bCs/>
                <w:color w:val="000000"/>
                <w:kern w:val="0"/>
                <w:sz w:val="24"/>
                <w:szCs w:val="24"/>
                <w:lang w:bidi="ar-SA"/>
              </w:rPr>
            </w:pPr>
            <w:r>
              <w:rPr>
                <w:rFonts w:hint="eastAsia" w:ascii="宋体" w:cs="宋体"/>
                <w:b/>
                <w:bCs/>
                <w:color w:val="000000"/>
                <w:kern w:val="0"/>
                <w:sz w:val="24"/>
                <w:szCs w:val="24"/>
                <w:lang w:bidi="ar-SA"/>
              </w:rPr>
              <w:t>　</w:t>
            </w:r>
          </w:p>
          <w:p>
            <w:pPr>
              <w:widowControl/>
              <w:jc w:val="left"/>
              <w:rPr>
                <w:rFonts w:hint="eastAsia" w:ascii="宋体" w:cs="宋体"/>
                <w:b/>
                <w:bCs/>
                <w:color w:val="000000"/>
                <w:kern w:val="0"/>
                <w:sz w:val="24"/>
                <w:szCs w:val="24"/>
                <w:lang w:bidi="ar-SA"/>
              </w:rPr>
            </w:pPr>
            <w:r>
              <w:rPr>
                <w:rFonts w:hint="eastAsia" w:ascii="宋体" w:cs="宋体"/>
                <w:b/>
                <w:bCs/>
                <w:color w:val="000000"/>
                <w:kern w:val="0"/>
                <w:sz w:val="24"/>
                <w:szCs w:val="24"/>
                <w:lang w:bidi="ar-SA"/>
              </w:rPr>
              <w:t>　</w:t>
            </w:r>
          </w:p>
          <w:p>
            <w:pPr>
              <w:widowControl/>
              <w:jc w:val="left"/>
              <w:rPr>
                <w:rFonts w:hint="eastAsia" w:ascii="宋体" w:cs="宋体"/>
                <w:b/>
                <w:bCs/>
                <w:color w:val="000000"/>
                <w:kern w:val="0"/>
                <w:sz w:val="24"/>
                <w:szCs w:val="24"/>
                <w:lang w:bidi="ar-SA"/>
              </w:rPr>
            </w:pPr>
            <w:r>
              <w:rPr>
                <w:rFonts w:hint="eastAsia" w:ascii="宋体" w:cs="宋体"/>
                <w:b/>
                <w:bCs/>
                <w:color w:val="000000"/>
                <w:kern w:val="0"/>
                <w:sz w:val="24"/>
                <w:szCs w:val="24"/>
                <w:lang w:bidi="ar-SA"/>
              </w:rPr>
              <w:t>　</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1</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监视器</w:t>
            </w:r>
          </w:p>
        </w:tc>
        <w:tc>
          <w:tcPr>
            <w:tcW w:w="5413" w:type="dxa"/>
            <w:noWrap w:val="0"/>
            <w:vAlign w:val="center"/>
          </w:tcPr>
          <w:p>
            <w:pPr>
              <w:widowControl/>
              <w:jc w:val="left"/>
              <w:rPr>
                <w:rFonts w:hint="eastAsia" w:ascii="宋体" w:cs="宋体"/>
                <w:color w:val="000000"/>
                <w:kern w:val="0"/>
                <w:sz w:val="24"/>
                <w:szCs w:val="24"/>
                <w:lang w:bidi="ar-SA"/>
              </w:rPr>
            </w:pPr>
            <w:r>
              <w:rPr>
                <w:rFonts w:hint="eastAsia"/>
                <w:color w:val="000000"/>
                <w:sz w:val="24"/>
                <w:szCs w:val="24"/>
              </w:rPr>
              <w:t>尺寸46寸；结构分体式；拼缝3.5；分辨率1920*1080；亮度(cd/m2)500；对比度3500:1；安装方式分体式；底座选配；壁挂选配</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2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台</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2</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支架</w:t>
            </w:r>
          </w:p>
        </w:tc>
        <w:tc>
          <w:tcPr>
            <w:tcW w:w="5413" w:type="dxa"/>
            <w:noWrap w:val="0"/>
            <w:vAlign w:val="center"/>
          </w:tcPr>
          <w:p>
            <w:pPr>
              <w:widowControl/>
              <w:jc w:val="left"/>
              <w:rPr>
                <w:rFonts w:hint="eastAsia" w:ascii="宋体" w:cs="宋体"/>
                <w:color w:val="000000"/>
                <w:kern w:val="0"/>
                <w:sz w:val="24"/>
                <w:szCs w:val="24"/>
                <w:lang w:bidi="ar-SA"/>
              </w:rPr>
            </w:pPr>
            <w:r>
              <w:rPr>
                <w:rFonts w:hint="eastAsia"/>
                <w:color w:val="000000"/>
                <w:sz w:val="24"/>
                <w:szCs w:val="24"/>
              </w:rPr>
              <w:t>定制</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2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套</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3</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解码器</w:t>
            </w:r>
          </w:p>
        </w:tc>
        <w:tc>
          <w:tcPr>
            <w:tcW w:w="5413" w:type="dxa"/>
            <w:noWrap w:val="0"/>
            <w:vAlign w:val="center"/>
          </w:tcPr>
          <w:p>
            <w:pPr>
              <w:widowControl/>
              <w:rPr>
                <w:rFonts w:hint="eastAsia" w:ascii="宋体" w:cs="宋体"/>
                <w:color w:val="000000"/>
                <w:kern w:val="0"/>
                <w:sz w:val="24"/>
                <w:szCs w:val="24"/>
                <w:lang w:bidi="ar-SA"/>
              </w:rPr>
            </w:pPr>
            <w:bookmarkStart w:id="46" w:name="_Hlk83734543"/>
            <w:r>
              <w:rPr>
                <w:rFonts w:hint="eastAsia"/>
                <w:color w:val="000000"/>
                <w:sz w:val="24"/>
                <w:szCs w:val="24"/>
              </w:rPr>
              <w:t>2路DVI-I输入口，2路HDMI输入口，9路HDMI音视频输出口支持最大9个屏的任意拼接显示，每屏支持1/4/6/8/9/16/25/36固定分割支持M*N自定义分割M*N&lt;=36视频标准MPEG2/MPEG4/H.264/H.265/SVAC/MJPEG；解码能力H.264和H.265解码能力相同。最大解码支持：108路720P@30fps或48路1080P@30fps或36路300W@25fps或24路500W@30fps或12路800W@30fps或9路1200W@25fps图像解码；</w:t>
            </w:r>
            <w:bookmarkEnd w:id="46"/>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台</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4</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线缆</w:t>
            </w:r>
          </w:p>
        </w:tc>
        <w:tc>
          <w:tcPr>
            <w:tcW w:w="5413"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规格：DVI-D电缆，单通道，24AWG；长度：≥15m。</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4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条</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5</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NVR</w:t>
            </w:r>
          </w:p>
        </w:tc>
        <w:tc>
          <w:tcPr>
            <w:tcW w:w="5413" w:type="dxa"/>
            <w:noWrap w:val="0"/>
            <w:vAlign w:val="center"/>
          </w:tcPr>
          <w:p>
            <w:pPr>
              <w:widowControl/>
              <w:jc w:val="left"/>
              <w:rPr>
                <w:color w:val="000000"/>
                <w:sz w:val="24"/>
                <w:szCs w:val="24"/>
              </w:rPr>
            </w:pPr>
            <w:r>
              <w:rPr>
                <w:rFonts w:hint="eastAsia"/>
                <w:color w:val="000000"/>
                <w:sz w:val="24"/>
                <w:szCs w:val="24"/>
              </w:rPr>
              <w:t>1、eSATA接口1个；HDMI2路；IPC分辨率12M/4K/5M/3M/1080P/UXGA/1.3M/720P，支持1080P@60帧；MiniSAS接口2个MiniSAS接口；USB接口4个，2个前置USB2.0接口、2个后置USB3.0接口；VGA1路；报警接口16进8出；</w:t>
            </w:r>
          </w:p>
          <w:p>
            <w:pPr>
              <w:widowControl/>
              <w:jc w:val="left"/>
              <w:rPr>
                <w:color w:val="000000"/>
                <w:sz w:val="24"/>
                <w:szCs w:val="24"/>
              </w:rPr>
            </w:pPr>
            <w:r>
              <w:rPr>
                <w:rFonts w:hint="eastAsia"/>
                <w:color w:val="000000"/>
                <w:sz w:val="24"/>
                <w:szCs w:val="24"/>
              </w:rPr>
              <w:t>2、操作界面WEB方式，本地GUI操作；操作系统嵌入式Linux操作系统；多路回放最大支持16路回放；后智能支持；解码能力16路1080P@30fps；盘位24；</w:t>
            </w:r>
          </w:p>
          <w:p>
            <w:pPr>
              <w:widowControl/>
              <w:jc w:val="left"/>
              <w:rPr>
                <w:color w:val="000000"/>
                <w:sz w:val="24"/>
                <w:szCs w:val="24"/>
              </w:rPr>
            </w:pPr>
            <w:r>
              <w:rPr>
                <w:rFonts w:hint="eastAsia"/>
                <w:color w:val="000000"/>
                <w:sz w:val="24"/>
                <w:szCs w:val="24"/>
              </w:rPr>
              <w:t>3、前智能接入支持拌线入侵，区域入侵，物品看护，徘徊检测，物品搬移，人员聚集，快速移动，徘徊检测，场景变更，音频检测；</w:t>
            </w:r>
          </w:p>
          <w:p>
            <w:pPr>
              <w:widowControl/>
              <w:jc w:val="left"/>
              <w:rPr>
                <w:color w:val="000000"/>
                <w:sz w:val="24"/>
                <w:szCs w:val="24"/>
              </w:rPr>
            </w:pPr>
            <w:r>
              <w:rPr>
                <w:rFonts w:hint="eastAsia"/>
                <w:color w:val="000000"/>
                <w:sz w:val="24"/>
                <w:szCs w:val="24"/>
              </w:rPr>
              <w:t>4、支持客流统计，热度图等；视频输出1路VGA输出，2路HDMI输出，支持VGA和HDMI1同源输出，双HDMI异源输出HDMI和HDMI1均支持4K显示；网络带宽384Mbps接入、384Mbps存储、384Mbps转发；网络接口4个，RJ4510/100/1000Mbps自适应以太网口；网络视频接入128路；网络协议HTTP、HTTPS、TCP/IP、IPv4/IPv6、UPnP、SNMP、RTSP、UDP、SMTP、NTP、DHCP、DNS、IPFilter、DDNS、FTP、AlarmServer、IPSearch(SupportDahuaIPcamera、DVR、NVS、etc.)、P2P、主动注册；音频接口1路，支持IPC复合音频输入/1路，支持语音对讲输出；硬盘接口24个，SATA3.0，单盘最大10T；</w:t>
            </w:r>
          </w:p>
          <w:p>
            <w:pPr>
              <w:widowControl/>
              <w:jc w:val="left"/>
              <w:rPr>
                <w:color w:val="000000"/>
                <w:sz w:val="24"/>
                <w:szCs w:val="24"/>
              </w:rPr>
            </w:pPr>
            <w:r>
              <w:rPr>
                <w:rFonts w:hint="eastAsia"/>
                <w:color w:val="000000"/>
                <w:sz w:val="24"/>
                <w:szCs w:val="24"/>
              </w:rPr>
              <w:t>5、智能分析支持在NVR配置拌线入侵、区域入侵、物品看护规则，当检测到异常时，进行告警上报并进行联动处理；</w:t>
            </w:r>
          </w:p>
          <w:p>
            <w:pPr>
              <w:widowControl/>
              <w:jc w:val="left"/>
              <w:rPr>
                <w:rFonts w:hint="eastAsia" w:ascii="宋体" w:cs="宋体"/>
                <w:color w:val="000000"/>
                <w:kern w:val="0"/>
                <w:sz w:val="24"/>
                <w:szCs w:val="24"/>
                <w:lang w:bidi="ar-SA"/>
              </w:rPr>
            </w:pPr>
            <w:r>
              <w:rPr>
                <w:rFonts w:hint="eastAsia"/>
                <w:color w:val="000000"/>
                <w:sz w:val="24"/>
                <w:szCs w:val="24"/>
              </w:rPr>
              <w:t>6、支持人脸侦测，实现人脸抠图和人脸所在全景图，进行告警上报并进行联动处理，并支持人脸检测录像回放，支持车辆检测，对车牌号，车标，车色进行检测，根据黑白名单设置，异常时进行告警上报并进行联动处理，并支持对车牌号进行关联录像回放；视频质量诊断（条纹干扰、视频偏色、视频噪声、视频虚焦、视频过曝）当检测到视频质量异常时，进行告警上报并进行联动处理，支持浓缩播放，根据人脸、车牌、通用行为分析，在选定时间段内提炼成对象化的视频；主处理器工业级嵌入式微控制器；报警输出8路；SAS接口1个。</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台</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6</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硬盘</w:t>
            </w:r>
          </w:p>
        </w:tc>
        <w:tc>
          <w:tcPr>
            <w:tcW w:w="5413" w:type="dxa"/>
            <w:noWrap w:val="0"/>
            <w:vAlign w:val="center"/>
          </w:tcPr>
          <w:p>
            <w:pPr>
              <w:widowControl/>
              <w:jc w:val="left"/>
              <w:rPr>
                <w:rFonts w:hint="eastAsia" w:ascii="宋体" w:cs="宋体"/>
                <w:color w:val="000000"/>
                <w:kern w:val="0"/>
                <w:sz w:val="24"/>
                <w:szCs w:val="24"/>
                <w:lang w:bidi="ar-SA"/>
              </w:rPr>
            </w:pPr>
            <w:r>
              <w:rPr>
                <w:rFonts w:hint="eastAsia"/>
                <w:color w:val="000000"/>
                <w:sz w:val="24"/>
                <w:szCs w:val="24"/>
              </w:rPr>
              <w:t>6000G；5400RPM；256M；SATA</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16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个</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7</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监控室桌椅</w:t>
            </w:r>
          </w:p>
        </w:tc>
        <w:tc>
          <w:tcPr>
            <w:tcW w:w="5413" w:type="dxa"/>
            <w:noWrap w:val="0"/>
            <w:vAlign w:val="center"/>
          </w:tcPr>
          <w:p>
            <w:pPr>
              <w:widowControl/>
              <w:jc w:val="left"/>
              <w:rPr>
                <w:rFonts w:hint="eastAsia" w:ascii="宋体" w:cs="宋体"/>
                <w:color w:val="000000"/>
                <w:kern w:val="0"/>
                <w:sz w:val="24"/>
                <w:szCs w:val="24"/>
                <w:lang w:bidi="ar-SA"/>
              </w:rPr>
            </w:pPr>
            <w:r>
              <w:rPr>
                <w:rFonts w:hint="eastAsia"/>
                <w:color w:val="000000"/>
                <w:sz w:val="24"/>
                <w:szCs w:val="24"/>
              </w:rPr>
              <w:t>定制。</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2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套</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372" w:type="dxa"/>
            <w:gridSpan w:val="5"/>
            <w:noWrap w:val="0"/>
            <w:vAlign w:val="center"/>
          </w:tcPr>
          <w:p>
            <w:pPr>
              <w:widowControl/>
              <w:jc w:val="left"/>
              <w:rPr>
                <w:rFonts w:hint="eastAsia" w:ascii="宋体" w:cs="宋体"/>
                <w:b/>
                <w:bCs/>
                <w:color w:val="000000"/>
                <w:kern w:val="0"/>
                <w:sz w:val="24"/>
                <w:szCs w:val="24"/>
                <w:lang w:bidi="ar-SA"/>
              </w:rPr>
            </w:pPr>
            <w:r>
              <w:rPr>
                <w:rFonts w:hint="eastAsia" w:ascii="宋体" w:cs="宋体"/>
                <w:b/>
                <w:bCs/>
                <w:color w:val="000000"/>
                <w:kern w:val="0"/>
                <w:sz w:val="24"/>
                <w:szCs w:val="24"/>
                <w:lang w:bidi="ar-SA"/>
              </w:rPr>
              <w:t>（八）接访室、调解室和咨询师智能化设备</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互动智能终端</w:t>
            </w:r>
          </w:p>
        </w:tc>
        <w:tc>
          <w:tcPr>
            <w:tcW w:w="5413" w:type="dxa"/>
            <w:noWrap w:val="0"/>
            <w:vAlign w:val="bottom"/>
          </w:tcPr>
          <w:p>
            <w:pPr>
              <w:widowControl/>
              <w:rPr>
                <w:color w:val="000000"/>
                <w:kern w:val="0"/>
                <w:sz w:val="24"/>
                <w:szCs w:val="24"/>
              </w:rPr>
            </w:pPr>
            <w:r>
              <w:rPr>
                <w:rFonts w:hint="eastAsia"/>
                <w:color w:val="000000"/>
                <w:sz w:val="24"/>
                <w:szCs w:val="24"/>
              </w:rPr>
              <w:t>1、屏幕尺寸：≥65 英寸，显示比例：16：9，分辨率：≥3840（H）×2160（V），屏对比度：≥1200：1（Typ.）透射，响应时间：≤6ms；，刷新率：≥60Hz；</w:t>
            </w:r>
            <w:r>
              <w:rPr>
                <w:rFonts w:hint="eastAsia"/>
                <w:color w:val="000000"/>
                <w:sz w:val="24"/>
                <w:szCs w:val="24"/>
              </w:rPr>
              <w:br w:type="textWrapping"/>
            </w:r>
            <w:r>
              <w:rPr>
                <w:color w:val="000000"/>
                <w:sz w:val="24"/>
                <w:szCs w:val="24"/>
              </w:rPr>
              <w:t>2</w:t>
            </w:r>
            <w:r>
              <w:rPr>
                <w:rFonts w:hint="eastAsia"/>
                <w:color w:val="000000"/>
                <w:sz w:val="24"/>
                <w:szCs w:val="24"/>
              </w:rPr>
              <w:t>、可视角度：89/89/89/89 (Typ.)(CR≥10)，色彩饱和度(x% NTSC)：≥65%；</w:t>
            </w:r>
            <w:r>
              <w:rPr>
                <w:rFonts w:hint="eastAsia"/>
                <w:color w:val="000000"/>
                <w:sz w:val="24"/>
                <w:szCs w:val="24"/>
              </w:rPr>
              <w:br w:type="textWrapping"/>
            </w:r>
            <w:r>
              <w:rPr>
                <w:color w:val="000000"/>
                <w:sz w:val="24"/>
                <w:szCs w:val="24"/>
              </w:rPr>
              <w:t>3</w:t>
            </w:r>
            <w:r>
              <w:rPr>
                <w:rFonts w:hint="eastAsia"/>
                <w:color w:val="000000"/>
                <w:sz w:val="24"/>
                <w:szCs w:val="24"/>
              </w:rPr>
              <w:t>、内置高性能书写软件：书写、擦除、放大缩小、扫码保存、插入图片、圈选复制删除、指定目标 放大缩小，随意更换笔的粗细，笔和背景的颜色；可在任意通道,任何界面下批注；</w:t>
            </w:r>
            <w:r>
              <w:rPr>
                <w:rFonts w:hint="eastAsia"/>
                <w:color w:val="000000"/>
                <w:sz w:val="24"/>
                <w:szCs w:val="24"/>
              </w:rPr>
              <w:br w:type="textWrapping"/>
            </w:r>
            <w:r>
              <w:rPr>
                <w:color w:val="000000"/>
                <w:sz w:val="24"/>
                <w:szCs w:val="24"/>
              </w:rPr>
              <w:t>4</w:t>
            </w:r>
            <w:r>
              <w:rPr>
                <w:rFonts w:hint="eastAsia"/>
                <w:color w:val="000000"/>
                <w:sz w:val="24"/>
                <w:szCs w:val="24"/>
              </w:rPr>
              <w:t>、内置一体式红外触摸框，不少于20 点触控，支持无线传屏功能和外部输入信号源自动识别跳转。</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3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台</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372" w:type="dxa"/>
            <w:gridSpan w:val="5"/>
            <w:noWrap w:val="0"/>
            <w:vAlign w:val="center"/>
          </w:tcPr>
          <w:p>
            <w:pPr>
              <w:widowControl/>
              <w:jc w:val="left"/>
              <w:rPr>
                <w:rFonts w:hint="eastAsia" w:ascii="宋体" w:cs="宋体"/>
                <w:b/>
                <w:bCs/>
                <w:color w:val="000000"/>
                <w:kern w:val="0"/>
                <w:sz w:val="24"/>
                <w:szCs w:val="24"/>
                <w:lang w:bidi="ar-SA"/>
              </w:rPr>
            </w:pPr>
            <w:r>
              <w:rPr>
                <w:rFonts w:hint="eastAsia" w:ascii="宋体" w:cs="宋体"/>
                <w:b/>
                <w:bCs/>
                <w:color w:val="000000"/>
                <w:kern w:val="0"/>
                <w:sz w:val="24"/>
                <w:szCs w:val="24"/>
                <w:lang w:bidi="ar-SA"/>
              </w:rPr>
              <w:t>（九）荣誉室智能化设备</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trPr>
        <w:tc>
          <w:tcPr>
            <w:tcW w:w="7076" w:type="dxa"/>
            <w:gridSpan w:val="3"/>
            <w:noWrap w:val="0"/>
            <w:vAlign w:val="center"/>
          </w:tcPr>
          <w:p>
            <w:pPr>
              <w:widowControl/>
              <w:jc w:val="left"/>
              <w:rPr>
                <w:rFonts w:hint="eastAsia" w:ascii="宋体" w:cs="宋体"/>
                <w:b/>
                <w:bCs/>
                <w:color w:val="000000"/>
                <w:kern w:val="0"/>
                <w:sz w:val="24"/>
                <w:szCs w:val="24"/>
                <w:lang w:bidi="ar-SA"/>
              </w:rPr>
            </w:pPr>
            <w:r>
              <w:rPr>
                <w:rFonts w:hint="eastAsia" w:ascii="宋体" w:cs="宋体"/>
                <w:b/>
                <w:bCs/>
                <w:color w:val="000000"/>
                <w:kern w:val="0"/>
                <w:sz w:val="24"/>
                <w:szCs w:val="24"/>
                <w:lang w:bidi="ar-SA"/>
              </w:rPr>
              <w:t>一）信息发布系统（音频部分）</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w:t>
            </w:r>
          </w:p>
        </w:tc>
        <w:tc>
          <w:tcPr>
            <w:tcW w:w="656"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076" w:type="dxa"/>
            <w:gridSpan w:val="3"/>
            <w:noWrap w:val="0"/>
            <w:vAlign w:val="center"/>
          </w:tcPr>
          <w:p>
            <w:pPr>
              <w:widowControl/>
              <w:jc w:val="left"/>
              <w:rPr>
                <w:rFonts w:hint="eastAsia" w:ascii="宋体" w:cs="宋体"/>
                <w:b/>
                <w:bCs/>
                <w:color w:val="000000"/>
                <w:kern w:val="0"/>
                <w:sz w:val="24"/>
                <w:szCs w:val="24"/>
                <w:lang w:bidi="ar-SA"/>
              </w:rPr>
            </w:pPr>
            <w:r>
              <w:rPr>
                <w:rFonts w:hint="eastAsia" w:ascii="宋体" w:cs="宋体"/>
                <w:b/>
                <w:bCs/>
                <w:color w:val="000000"/>
                <w:kern w:val="0"/>
                <w:sz w:val="24"/>
                <w:szCs w:val="24"/>
                <w:lang w:bidi="ar-SA"/>
              </w:rPr>
              <w:t>二）服务终端设备</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迎宾接待机器人</w:t>
            </w:r>
          </w:p>
        </w:tc>
        <w:tc>
          <w:tcPr>
            <w:tcW w:w="5413" w:type="dxa"/>
            <w:noWrap w:val="0"/>
            <w:vAlign w:val="center"/>
          </w:tcPr>
          <w:p>
            <w:pPr>
              <w:widowControl/>
              <w:jc w:val="left"/>
              <w:rPr>
                <w:rFonts w:hint="eastAsia" w:ascii="宋体" w:cs="宋体"/>
                <w:color w:val="000000"/>
                <w:kern w:val="0"/>
                <w:sz w:val="24"/>
                <w:szCs w:val="24"/>
                <w:lang w:bidi="ar-SA"/>
              </w:rPr>
            </w:pPr>
            <w:r>
              <w:rPr>
                <w:rFonts w:hint="eastAsia"/>
                <w:color w:val="000000"/>
                <w:sz w:val="24"/>
                <w:szCs w:val="24"/>
              </w:rPr>
              <w:t xml:space="preserve">1、人机交互：≥13.3寸显示屏；分辨率：≥1920x1080；电容式全触摸面板；全双工语音交互； </w:t>
            </w:r>
            <w:r>
              <w:rPr>
                <w:rFonts w:hint="eastAsia"/>
                <w:color w:val="000000"/>
                <w:sz w:val="24"/>
                <w:szCs w:val="24"/>
              </w:rPr>
              <w:br w:type="textWrapping"/>
            </w:r>
            <w:r>
              <w:rPr>
                <w:rFonts w:hint="eastAsia"/>
                <w:color w:val="000000"/>
                <w:sz w:val="24"/>
                <w:szCs w:val="24"/>
              </w:rPr>
              <w:t xml:space="preserve">2、运动能力：头部、手臂及底盘共8个运动自由度。头部及手臂：用户可编程各种动作；底盘：水平可方向任意行走； </w:t>
            </w:r>
            <w:r>
              <w:rPr>
                <w:rFonts w:hint="eastAsia"/>
                <w:color w:val="000000"/>
                <w:sz w:val="24"/>
                <w:szCs w:val="24"/>
              </w:rPr>
              <w:br w:type="textWrapping"/>
            </w:r>
            <w:r>
              <w:rPr>
                <w:rFonts w:hint="eastAsia"/>
                <w:color w:val="000000"/>
                <w:sz w:val="24"/>
                <w:szCs w:val="24"/>
              </w:rPr>
              <w:t xml:space="preserve">3、定位导航：≥25M激光雷达室内定位、导航及避障； </w:t>
            </w:r>
            <w:r>
              <w:rPr>
                <w:rFonts w:hint="eastAsia"/>
                <w:color w:val="000000"/>
                <w:sz w:val="24"/>
                <w:szCs w:val="24"/>
              </w:rPr>
              <w:br w:type="textWrapping"/>
            </w:r>
            <w:r>
              <w:rPr>
                <w:rFonts w:hint="eastAsia"/>
                <w:color w:val="000000"/>
                <w:sz w:val="24"/>
                <w:szCs w:val="24"/>
              </w:rPr>
              <w:t xml:space="preserve">4、人脸识别：结合第三方算法可实现基于机器人本地存储50人以内的人脸识别； </w:t>
            </w:r>
            <w:r>
              <w:rPr>
                <w:rFonts w:hint="eastAsia"/>
                <w:color w:val="000000"/>
                <w:sz w:val="24"/>
                <w:szCs w:val="24"/>
              </w:rPr>
              <w:br w:type="textWrapping"/>
            </w:r>
            <w:r>
              <w:rPr>
                <w:rFonts w:hint="eastAsia"/>
                <w:color w:val="000000"/>
                <w:sz w:val="24"/>
                <w:szCs w:val="24"/>
              </w:rPr>
              <w:t>5、身份证识别：近距离非接触式身份证识别，感应时间&lt;2S 距离&lt;30MM；</w:t>
            </w:r>
            <w:r>
              <w:rPr>
                <w:rFonts w:hint="eastAsia"/>
                <w:color w:val="000000"/>
                <w:sz w:val="24"/>
                <w:szCs w:val="24"/>
              </w:rPr>
              <w:br w:type="textWrapping"/>
            </w:r>
            <w:r>
              <w:rPr>
                <w:rFonts w:hint="eastAsia"/>
                <w:color w:val="000000"/>
                <w:sz w:val="24"/>
                <w:szCs w:val="24"/>
              </w:rPr>
              <w:t>6、语音识别：全双工语音交互，最远拾音距离5米，语音播放：信噪比（计权）：≥82dB；失真（输出5W）：0.15%；额定功率：≤5W；</w:t>
            </w:r>
            <w:r>
              <w:rPr>
                <w:rFonts w:hint="eastAsia"/>
                <w:color w:val="000000"/>
                <w:sz w:val="24"/>
                <w:szCs w:val="24"/>
              </w:rPr>
              <w:br w:type="textWrapping"/>
            </w:r>
            <w:r>
              <w:rPr>
                <w:color w:val="000000"/>
                <w:sz w:val="24"/>
                <w:szCs w:val="24"/>
              </w:rPr>
              <w:t>7</w:t>
            </w:r>
            <w:r>
              <w:rPr>
                <w:rFonts w:hint="eastAsia"/>
                <w:color w:val="000000"/>
                <w:sz w:val="24"/>
                <w:szCs w:val="24"/>
              </w:rPr>
              <w:t>、MIC阵列：最远拾音距离5米，2米内识音准确率95%以上；声源定位：360度范围任意方位定位无死角；先进的消回音算法实现全双工语音交互；支持自定义唤醒词；支持用户增加自定义关键词；支持本地语音识别；</w:t>
            </w:r>
            <w:r>
              <w:rPr>
                <w:rFonts w:hint="eastAsia"/>
                <w:color w:val="000000"/>
                <w:sz w:val="24"/>
                <w:szCs w:val="24"/>
              </w:rPr>
              <w:br w:type="textWrapping"/>
            </w:r>
            <w:r>
              <w:rPr>
                <w:color w:val="000000"/>
                <w:sz w:val="24"/>
                <w:szCs w:val="24"/>
              </w:rPr>
              <w:t>8</w:t>
            </w:r>
            <w:r>
              <w:rPr>
                <w:rFonts w:hint="eastAsia"/>
                <w:color w:val="000000"/>
                <w:sz w:val="24"/>
                <w:szCs w:val="24"/>
              </w:rPr>
              <w:t>、CPU+内存：六核CPU，工控级六核高性能CPU处理器，4G内存；</w:t>
            </w:r>
            <w:r>
              <w:rPr>
                <w:rFonts w:hint="eastAsia"/>
                <w:color w:val="000000"/>
                <w:sz w:val="24"/>
                <w:szCs w:val="24"/>
              </w:rPr>
              <w:br w:type="textWrapping"/>
            </w:r>
            <w:r>
              <w:rPr>
                <w:color w:val="000000"/>
                <w:sz w:val="24"/>
                <w:szCs w:val="24"/>
              </w:rPr>
              <w:t>9</w:t>
            </w:r>
            <w:r>
              <w:rPr>
                <w:rFonts w:hint="eastAsia"/>
                <w:color w:val="000000"/>
                <w:sz w:val="24"/>
                <w:szCs w:val="24"/>
              </w:rPr>
              <w:t>、外形高度：整体高度≥1400mm，面部眼睛和耳朵均有呼吸灯；</w:t>
            </w:r>
            <w:r>
              <w:rPr>
                <w:rFonts w:hint="eastAsia"/>
                <w:color w:val="000000"/>
                <w:sz w:val="24"/>
                <w:szCs w:val="24"/>
              </w:rPr>
              <w:br w:type="textWrapping"/>
            </w:r>
            <w:r>
              <w:rPr>
                <w:color w:val="000000"/>
                <w:sz w:val="24"/>
                <w:szCs w:val="24"/>
              </w:rPr>
              <w:t>10</w:t>
            </w:r>
            <w:r>
              <w:rPr>
                <w:rFonts w:hint="eastAsia"/>
                <w:color w:val="000000"/>
                <w:sz w:val="24"/>
                <w:szCs w:val="24"/>
              </w:rPr>
              <w:t>、★产品符合GB 4943.1-2011《信息技术设备 安全 第1部分：通用要求》国家标准；（需提供证明材料）</w:t>
            </w:r>
            <w:r>
              <w:rPr>
                <w:rFonts w:hint="eastAsia"/>
                <w:color w:val="000000"/>
                <w:sz w:val="24"/>
                <w:szCs w:val="24"/>
              </w:rPr>
              <w:br w:type="textWrapping"/>
            </w:r>
            <w:r>
              <w:rPr>
                <w:color w:val="000000"/>
                <w:sz w:val="24"/>
                <w:szCs w:val="24"/>
              </w:rPr>
              <w:t>11</w:t>
            </w:r>
            <w:r>
              <w:rPr>
                <w:rFonts w:hint="eastAsia"/>
                <w:color w:val="000000"/>
                <w:sz w:val="24"/>
                <w:szCs w:val="24"/>
              </w:rPr>
              <w:t>、★具有机器人操作系统和导航软件著作权；（需提供软件著作权登记证书复印件）</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台</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2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卧式触摸屏</w:t>
            </w:r>
          </w:p>
        </w:tc>
        <w:tc>
          <w:tcPr>
            <w:tcW w:w="5413" w:type="dxa"/>
            <w:noWrap w:val="0"/>
            <w:vAlign w:val="center"/>
          </w:tcPr>
          <w:p>
            <w:pPr>
              <w:widowControl/>
              <w:jc w:val="left"/>
              <w:rPr>
                <w:color w:val="000000"/>
                <w:sz w:val="24"/>
                <w:szCs w:val="24"/>
              </w:rPr>
            </w:pPr>
            <w:r>
              <w:rPr>
                <w:rFonts w:hint="eastAsia"/>
                <w:color w:val="000000"/>
                <w:sz w:val="24"/>
                <w:szCs w:val="24"/>
              </w:rPr>
              <w:t>1、显示分辨率：不低于1920×1080；视角：水平≥178°,上下≥178°；响应时间：≤7ms；显示屏尺寸：≥65英寸；显示亮度：≥300cd/㎡；对比度：≥1200:1；刷新频率：≥60Hz；</w:t>
            </w:r>
          </w:p>
          <w:p>
            <w:pPr>
              <w:widowControl/>
              <w:jc w:val="left"/>
              <w:rPr>
                <w:color w:val="000000"/>
                <w:sz w:val="24"/>
                <w:szCs w:val="24"/>
              </w:rPr>
            </w:pPr>
            <w:r>
              <w:rPr>
                <w:rFonts w:hint="eastAsia"/>
                <w:color w:val="000000"/>
                <w:sz w:val="24"/>
                <w:szCs w:val="24"/>
              </w:rPr>
              <w:t>2、主机：主频≥2.6GHz,核心数：≥双核，线程数：≥四线程；内存容量：≥4GB，内存类型：DDR3或以上；存储容量（SSD硬盘）：≥128GB ；</w:t>
            </w:r>
          </w:p>
          <w:p>
            <w:pPr>
              <w:widowControl/>
              <w:jc w:val="left"/>
              <w:rPr>
                <w:color w:val="000000"/>
                <w:sz w:val="24"/>
                <w:szCs w:val="24"/>
              </w:rPr>
            </w:pPr>
            <w:r>
              <w:rPr>
                <w:rFonts w:hint="eastAsia"/>
                <w:color w:val="000000"/>
                <w:sz w:val="24"/>
                <w:szCs w:val="24"/>
              </w:rPr>
              <w:t>3、显卡、声卡、网卡集成，操作系统：正版操作系统；</w:t>
            </w:r>
          </w:p>
          <w:p>
            <w:pPr>
              <w:widowControl/>
              <w:jc w:val="left"/>
              <w:rPr>
                <w:color w:val="000000"/>
                <w:sz w:val="24"/>
                <w:szCs w:val="24"/>
              </w:rPr>
            </w:pPr>
            <w:r>
              <w:rPr>
                <w:rFonts w:hint="eastAsia"/>
                <w:color w:val="000000"/>
                <w:sz w:val="24"/>
                <w:szCs w:val="24"/>
              </w:rPr>
              <w:t>4、对外接口：USB≥4，RJ45≥1,HDMI≥1；喇叭：不少于2*5W；</w:t>
            </w:r>
          </w:p>
          <w:p>
            <w:pPr>
              <w:widowControl/>
              <w:jc w:val="left"/>
              <w:rPr>
                <w:rFonts w:hint="eastAsia" w:ascii="宋体" w:cs="宋体"/>
                <w:color w:val="000000"/>
                <w:kern w:val="0"/>
                <w:sz w:val="24"/>
                <w:szCs w:val="24"/>
                <w:lang w:bidi="ar-SA"/>
              </w:rPr>
            </w:pPr>
            <w:r>
              <w:rPr>
                <w:rFonts w:hint="eastAsia"/>
                <w:color w:val="000000"/>
                <w:sz w:val="24"/>
                <w:szCs w:val="24"/>
              </w:rPr>
              <w:t>5、WIFI：内置WIFI，触摸：10点红外触摸。</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台</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3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立式触摸屏</w:t>
            </w:r>
          </w:p>
        </w:tc>
        <w:tc>
          <w:tcPr>
            <w:tcW w:w="5413" w:type="dxa"/>
            <w:noWrap w:val="0"/>
            <w:vAlign w:val="center"/>
          </w:tcPr>
          <w:p>
            <w:pPr>
              <w:widowControl/>
              <w:jc w:val="left"/>
              <w:rPr>
                <w:rFonts w:hint="eastAsia" w:ascii="宋体" w:cs="宋体"/>
                <w:color w:val="000000"/>
                <w:kern w:val="0"/>
                <w:sz w:val="24"/>
                <w:szCs w:val="24"/>
                <w:lang w:bidi="ar-SA"/>
              </w:rPr>
            </w:pPr>
            <w:r>
              <w:rPr>
                <w:rFonts w:hint="eastAsia"/>
                <w:color w:val="000000"/>
                <w:sz w:val="24"/>
                <w:szCs w:val="24"/>
              </w:rPr>
              <w:t>1、显示分辨率：不低于1920×1080；视角：水平≥178°,上下≥178°；响应时间：≤8ms；显示屏尺寸：≥55英寸；显示亮度：≥300cd/㎡；对比度：≥1200:1；刷新频率：≥60Hz；</w:t>
            </w:r>
            <w:r>
              <w:rPr>
                <w:rFonts w:hint="eastAsia"/>
                <w:color w:val="000000"/>
                <w:sz w:val="24"/>
                <w:szCs w:val="24"/>
              </w:rPr>
              <w:br w:type="textWrapping"/>
            </w:r>
            <w:r>
              <w:rPr>
                <w:rFonts w:hint="eastAsia"/>
                <w:color w:val="000000"/>
                <w:sz w:val="24"/>
                <w:szCs w:val="24"/>
              </w:rPr>
              <w:t>2、主机：主频≥2.6GHz,核心数：≥双核，线程数：≥四线程；内存容量：≥4GB，内存类型：DDR3L或以上；存储容量（SSD硬盘）：≥128GB ；</w:t>
            </w:r>
            <w:r>
              <w:rPr>
                <w:rFonts w:hint="eastAsia"/>
                <w:color w:val="000000"/>
                <w:sz w:val="24"/>
                <w:szCs w:val="24"/>
              </w:rPr>
              <w:br w:type="textWrapping"/>
            </w:r>
            <w:r>
              <w:rPr>
                <w:rFonts w:hint="eastAsia"/>
                <w:color w:val="000000"/>
                <w:sz w:val="24"/>
                <w:szCs w:val="24"/>
              </w:rPr>
              <w:t>3、显卡、声卡、网卡集成，操作系统：正版操作系统；</w:t>
            </w:r>
            <w:r>
              <w:rPr>
                <w:rFonts w:hint="eastAsia"/>
                <w:color w:val="000000"/>
                <w:sz w:val="24"/>
                <w:szCs w:val="24"/>
              </w:rPr>
              <w:br w:type="textWrapping"/>
            </w:r>
            <w:r>
              <w:rPr>
                <w:color w:val="000000"/>
                <w:sz w:val="24"/>
                <w:szCs w:val="24"/>
              </w:rPr>
              <w:t>4</w:t>
            </w:r>
            <w:r>
              <w:rPr>
                <w:rFonts w:hint="eastAsia"/>
                <w:color w:val="000000"/>
                <w:sz w:val="24"/>
                <w:szCs w:val="24"/>
              </w:rPr>
              <w:t>、对外接口：USB≥4，RJ45≥1,HDMI≥1；喇叭：不少于2*5W；</w:t>
            </w:r>
            <w:r>
              <w:rPr>
                <w:rFonts w:hint="eastAsia"/>
                <w:color w:val="000000"/>
                <w:sz w:val="24"/>
                <w:szCs w:val="24"/>
              </w:rPr>
              <w:br w:type="textWrapping"/>
            </w:r>
            <w:r>
              <w:rPr>
                <w:color w:val="000000"/>
                <w:sz w:val="24"/>
                <w:szCs w:val="24"/>
              </w:rPr>
              <w:t>5</w:t>
            </w:r>
            <w:r>
              <w:rPr>
                <w:rFonts w:hint="eastAsia"/>
                <w:color w:val="000000"/>
                <w:sz w:val="24"/>
                <w:szCs w:val="24"/>
              </w:rPr>
              <w:t>、WIFI：内置WIFI，触摸：G+G电容触摸。</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2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台</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076" w:type="dxa"/>
            <w:gridSpan w:val="3"/>
            <w:noWrap w:val="0"/>
            <w:vAlign w:val="center"/>
          </w:tcPr>
          <w:p>
            <w:pPr>
              <w:widowControl/>
              <w:jc w:val="left"/>
              <w:rPr>
                <w:rFonts w:hint="eastAsia" w:ascii="宋体" w:cs="宋体"/>
                <w:b/>
                <w:bCs/>
                <w:color w:val="000000"/>
                <w:kern w:val="0"/>
                <w:sz w:val="24"/>
                <w:szCs w:val="24"/>
                <w:lang w:bidi="ar-SA"/>
              </w:rPr>
            </w:pPr>
            <w:r>
              <w:rPr>
                <w:rFonts w:hint="eastAsia" w:ascii="宋体" w:cs="宋体"/>
                <w:b/>
                <w:bCs/>
                <w:color w:val="000000"/>
                <w:kern w:val="0"/>
                <w:sz w:val="24"/>
                <w:szCs w:val="24"/>
                <w:lang w:bidi="ar-SA"/>
              </w:rPr>
              <w:t>三）互动展示设备</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w:t>
            </w:r>
          </w:p>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w:t>
            </w:r>
          </w:p>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壁挂屏</w:t>
            </w:r>
          </w:p>
        </w:tc>
        <w:tc>
          <w:tcPr>
            <w:tcW w:w="5413" w:type="dxa"/>
            <w:noWrap w:val="0"/>
            <w:vAlign w:val="center"/>
          </w:tcPr>
          <w:p>
            <w:pPr>
              <w:widowControl/>
              <w:jc w:val="left"/>
              <w:rPr>
                <w:rFonts w:hint="eastAsia" w:ascii="宋体" w:cs="宋体"/>
                <w:color w:val="000000"/>
                <w:kern w:val="0"/>
                <w:sz w:val="24"/>
                <w:szCs w:val="24"/>
                <w:lang w:bidi="ar-SA"/>
              </w:rPr>
            </w:pPr>
            <w:r>
              <w:rPr>
                <w:rFonts w:hint="eastAsia"/>
                <w:color w:val="000000"/>
                <w:sz w:val="24"/>
                <w:szCs w:val="24"/>
              </w:rPr>
              <w:t>1、显示屏类型：LED背光液晶显示屏，显示分辨率：≥1920×1080，视角：水平178°,上下178°，显示屏尺寸：≥55英寸，</w:t>
            </w:r>
            <w:r>
              <w:rPr>
                <w:rFonts w:hint="eastAsia"/>
                <w:color w:val="000000"/>
                <w:sz w:val="24"/>
                <w:szCs w:val="24"/>
              </w:rPr>
              <w:br w:type="textWrapping"/>
            </w:r>
            <w:r>
              <w:rPr>
                <w:color w:val="000000"/>
                <w:sz w:val="24"/>
                <w:szCs w:val="24"/>
              </w:rPr>
              <w:t>2</w:t>
            </w:r>
            <w:r>
              <w:rPr>
                <w:rFonts w:hint="eastAsia"/>
                <w:color w:val="000000"/>
                <w:sz w:val="24"/>
                <w:szCs w:val="24"/>
              </w:rPr>
              <w:t>、响应时间：≤8ms，显示亮度：≥350cd/㎡，对比度：≥1400:1，刷新频率：≥60Hz；</w:t>
            </w:r>
            <w:r>
              <w:rPr>
                <w:rFonts w:hint="eastAsia"/>
                <w:color w:val="000000"/>
                <w:sz w:val="24"/>
                <w:szCs w:val="24"/>
              </w:rPr>
              <w:br w:type="textWrapping"/>
            </w:r>
            <w:r>
              <w:rPr>
                <w:color w:val="000000"/>
                <w:sz w:val="24"/>
                <w:szCs w:val="24"/>
              </w:rPr>
              <w:t>3</w:t>
            </w:r>
            <w:r>
              <w:rPr>
                <w:rFonts w:hint="eastAsia"/>
                <w:color w:val="000000"/>
                <w:sz w:val="24"/>
                <w:szCs w:val="24"/>
              </w:rPr>
              <w:t>、存储：≥16GB，显卡：集成，网卡：集成10/100M自适应以太网，内存：≥2G DDR3，操作系统：主流正版操作系统，声卡：集成；</w:t>
            </w:r>
            <w:r>
              <w:rPr>
                <w:rFonts w:hint="eastAsia"/>
                <w:color w:val="000000"/>
                <w:sz w:val="24"/>
                <w:szCs w:val="24"/>
              </w:rPr>
              <w:br w:type="textWrapping"/>
            </w:r>
            <w:r>
              <w:rPr>
                <w:color w:val="000000"/>
                <w:sz w:val="24"/>
                <w:szCs w:val="24"/>
              </w:rPr>
              <w:t>4</w:t>
            </w:r>
            <w:r>
              <w:rPr>
                <w:rFonts w:hint="eastAsia"/>
                <w:color w:val="000000"/>
                <w:sz w:val="24"/>
                <w:szCs w:val="24"/>
              </w:rPr>
              <w:t>、对外接口：USB≥2，RJ45≥1,HDMI≥1。</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2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台</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2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互动滑轨屏</w:t>
            </w:r>
          </w:p>
        </w:tc>
        <w:tc>
          <w:tcPr>
            <w:tcW w:w="5413" w:type="dxa"/>
            <w:noWrap w:val="0"/>
            <w:vAlign w:val="center"/>
          </w:tcPr>
          <w:p>
            <w:pPr>
              <w:widowControl/>
              <w:jc w:val="left"/>
              <w:rPr>
                <w:rFonts w:hint="eastAsia" w:ascii="宋体" w:cs="宋体"/>
                <w:color w:val="000000"/>
                <w:kern w:val="0"/>
                <w:sz w:val="24"/>
                <w:szCs w:val="24"/>
                <w:lang w:bidi="ar-SA"/>
              </w:rPr>
            </w:pPr>
            <w:r>
              <w:rPr>
                <w:rFonts w:hint="eastAsia"/>
                <w:color w:val="000000"/>
                <w:sz w:val="24"/>
                <w:szCs w:val="24"/>
              </w:rPr>
              <w:t>1、滑轨屏：≥55寸10点红外触摸屏，CPU≥8G内存，≥120GSSD固态硬盘，屏幕分辨率≥1920*1080，定制固定液晶整机加强结构套件，滑轨跟一体机的安装，采用铝合金型材，伺服电机：静音伺服电机，包含驱动控制器，滑轨驱动板；</w:t>
            </w:r>
            <w:r>
              <w:rPr>
                <w:rFonts w:hint="eastAsia"/>
                <w:color w:val="000000"/>
                <w:sz w:val="24"/>
                <w:szCs w:val="24"/>
              </w:rPr>
              <w:br w:type="textWrapping"/>
            </w:r>
            <w:r>
              <w:rPr>
                <w:color w:val="000000"/>
                <w:sz w:val="24"/>
                <w:szCs w:val="24"/>
              </w:rPr>
              <w:t>2</w:t>
            </w:r>
            <w:r>
              <w:rPr>
                <w:rFonts w:hint="eastAsia"/>
                <w:color w:val="000000"/>
                <w:sz w:val="24"/>
                <w:szCs w:val="24"/>
              </w:rPr>
              <w:t>、配置缓停缓启动系统：设备启动和停止均有缓冲程序，保证设备运行平稳，噪音小，同时减少设备晃动，配置点位设置系统：客户可根据需要自由添加或者删减感应位置20个播放点位，支持背景图实时同步，配置自动轮巡系统：自动往复运动，不停止；单个位置播放停止模式，单个形成模式自由设置，配置触屏互动系统：访客按屏上的左移或者右移按钮，屏幕即向相应的方向移动一个展示位；</w:t>
            </w:r>
            <w:r>
              <w:rPr>
                <w:rFonts w:hint="eastAsia"/>
                <w:color w:val="000000"/>
                <w:sz w:val="24"/>
                <w:szCs w:val="24"/>
              </w:rPr>
              <w:br w:type="textWrapping"/>
            </w:r>
            <w:r>
              <w:rPr>
                <w:color w:val="000000"/>
                <w:sz w:val="24"/>
                <w:szCs w:val="24"/>
              </w:rPr>
              <w:t>3</w:t>
            </w:r>
            <w:r>
              <w:rPr>
                <w:rFonts w:hint="eastAsia"/>
                <w:color w:val="000000"/>
                <w:sz w:val="24"/>
                <w:szCs w:val="24"/>
              </w:rPr>
              <w:t>、控制方法多样：触摸屏控制，通过控制器获取实时位置信息并进行数据转换；</w:t>
            </w:r>
            <w:r>
              <w:rPr>
                <w:rFonts w:hint="eastAsia"/>
                <w:color w:val="000000"/>
                <w:sz w:val="24"/>
                <w:szCs w:val="24"/>
              </w:rPr>
              <w:br w:type="textWrapping"/>
            </w:r>
            <w:r>
              <w:rPr>
                <w:color w:val="000000"/>
                <w:sz w:val="24"/>
                <w:szCs w:val="24"/>
              </w:rPr>
              <w:t>4</w:t>
            </w:r>
            <w:r>
              <w:rPr>
                <w:rFonts w:hint="eastAsia"/>
                <w:color w:val="000000"/>
                <w:sz w:val="24"/>
                <w:szCs w:val="24"/>
              </w:rPr>
              <w:t>、配置动力系统：采用静音电机及配套的变频器驱动，启动力矩大，声音小，运动平，配置紧急停车管理系统：移动末端设有防撞传感器，限位开关等防撞系统，保证设备运行的安全性，良好的安全风险管控，配置位置线性测试系统：通过高精度传感器，实时测量滑轨屏的当前实时位置，响应速度快，数据更新速度小于200ms；</w:t>
            </w:r>
            <w:r>
              <w:rPr>
                <w:rFonts w:hint="eastAsia"/>
                <w:color w:val="000000"/>
                <w:sz w:val="24"/>
                <w:szCs w:val="24"/>
              </w:rPr>
              <w:br w:type="textWrapping"/>
            </w:r>
            <w:r>
              <w:rPr>
                <w:color w:val="000000"/>
                <w:sz w:val="24"/>
                <w:szCs w:val="24"/>
              </w:rPr>
              <w:t>5</w:t>
            </w:r>
            <w:r>
              <w:rPr>
                <w:rFonts w:hint="eastAsia"/>
                <w:color w:val="000000"/>
                <w:sz w:val="24"/>
                <w:szCs w:val="24"/>
              </w:rPr>
              <w:t>、位置测量精度±1mm，定位精准，导轨长度：≥4m*2条，滑轨材质：采用铝合金材质+轴成钢，耐腐蚀性，精准度：≤0.1mm，控制系统：滑块、限位器、移动供电系统；</w:t>
            </w:r>
            <w:r>
              <w:rPr>
                <w:rFonts w:hint="eastAsia"/>
                <w:color w:val="000000"/>
                <w:sz w:val="24"/>
                <w:szCs w:val="24"/>
              </w:rPr>
              <w:br w:type="textWrapping"/>
            </w:r>
            <w:r>
              <w:rPr>
                <w:color w:val="000000"/>
                <w:sz w:val="24"/>
                <w:szCs w:val="24"/>
              </w:rPr>
              <w:t>6</w:t>
            </w:r>
            <w:r>
              <w:rPr>
                <w:rFonts w:hint="eastAsia"/>
                <w:color w:val="000000"/>
                <w:sz w:val="24"/>
                <w:szCs w:val="24"/>
              </w:rPr>
              <w:t>、★产品符合GB 4943.1-2011《信息技术设备 安全 第1部分：通用要求》国家标准（需提供证明材料复印件）；</w:t>
            </w:r>
            <w:r>
              <w:rPr>
                <w:rFonts w:hint="eastAsia"/>
                <w:color w:val="000000"/>
                <w:sz w:val="24"/>
                <w:szCs w:val="24"/>
              </w:rPr>
              <w:br w:type="textWrapping"/>
            </w:r>
            <w:r>
              <w:rPr>
                <w:color w:val="000000"/>
                <w:sz w:val="24"/>
                <w:szCs w:val="24"/>
              </w:rPr>
              <w:t>7</w:t>
            </w:r>
            <w:r>
              <w:rPr>
                <w:rFonts w:hint="eastAsia"/>
                <w:color w:val="000000"/>
                <w:sz w:val="24"/>
                <w:szCs w:val="24"/>
              </w:rPr>
              <w:t>、★滑轨屏控制软件的计算机软件著作权登记证书（需提供软件著作权登记证书复印件）；</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套</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3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互动滑动屏视频内容</w:t>
            </w:r>
          </w:p>
        </w:tc>
        <w:tc>
          <w:tcPr>
            <w:tcW w:w="5413" w:type="dxa"/>
            <w:noWrap w:val="0"/>
            <w:vAlign w:val="center"/>
          </w:tcPr>
          <w:p>
            <w:pPr>
              <w:widowControl/>
              <w:jc w:val="left"/>
              <w:rPr>
                <w:rFonts w:hint="eastAsia" w:ascii="宋体" w:cs="宋体"/>
                <w:color w:val="000000"/>
                <w:kern w:val="0"/>
                <w:sz w:val="24"/>
                <w:szCs w:val="24"/>
                <w:lang w:bidi="ar-SA"/>
              </w:rPr>
            </w:pPr>
            <w:r>
              <w:rPr>
                <w:rFonts w:hint="eastAsia"/>
                <w:color w:val="000000"/>
                <w:sz w:val="24"/>
                <w:szCs w:val="24"/>
              </w:rPr>
              <w:t>包括：定制背景墙和视频内容，此项展示需后期根据具体需求，需要拍摄、剪辑、建模等，视频总时长约2分钟。</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套</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076" w:type="dxa"/>
            <w:gridSpan w:val="3"/>
            <w:noWrap w:val="0"/>
            <w:vAlign w:val="center"/>
          </w:tcPr>
          <w:p>
            <w:pPr>
              <w:widowControl/>
              <w:jc w:val="left"/>
              <w:rPr>
                <w:rFonts w:hint="eastAsia" w:ascii="宋体" w:cs="宋体"/>
                <w:b/>
                <w:bCs/>
                <w:color w:val="000000"/>
                <w:kern w:val="0"/>
                <w:sz w:val="24"/>
                <w:szCs w:val="24"/>
                <w:lang w:bidi="ar-SA"/>
              </w:rPr>
            </w:pPr>
            <w:r>
              <w:rPr>
                <w:rFonts w:hint="eastAsia" w:ascii="宋体" w:cs="宋体"/>
                <w:b/>
                <w:bCs/>
                <w:color w:val="000000"/>
                <w:kern w:val="0"/>
                <w:sz w:val="24"/>
                <w:szCs w:val="24"/>
                <w:lang w:bidi="ar-SA"/>
              </w:rPr>
              <w:t>四）基础环境适应性改造</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w:t>
            </w:r>
          </w:p>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w:t>
            </w:r>
          </w:p>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w:t>
            </w:r>
          </w:p>
        </w:tc>
        <w:tc>
          <w:tcPr>
            <w:tcW w:w="15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1</w:t>
            </w:r>
          </w:p>
        </w:tc>
        <w:tc>
          <w:tcPr>
            <w:tcW w:w="1273"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地面砖铲除</w:t>
            </w:r>
          </w:p>
        </w:tc>
        <w:tc>
          <w:tcPr>
            <w:tcW w:w="5413" w:type="dxa"/>
            <w:noWrap w:val="0"/>
            <w:vAlign w:val="center"/>
          </w:tcPr>
          <w:p>
            <w:pPr>
              <w:widowControl/>
              <w:jc w:val="left"/>
              <w:rPr>
                <w:rFonts w:hint="eastAsia" w:ascii="宋体" w:cs="宋体"/>
                <w:color w:val="0000FF"/>
                <w:kern w:val="0"/>
                <w:sz w:val="24"/>
                <w:szCs w:val="24"/>
                <w:lang w:bidi="ar-SA"/>
              </w:rPr>
            </w:pPr>
            <w:r>
              <w:rPr>
                <w:rFonts w:hint="eastAsia" w:ascii="宋体" w:hAnsi="宋体"/>
                <w:color w:val="000000"/>
                <w:sz w:val="24"/>
                <w:szCs w:val="24"/>
              </w:rPr>
              <w:t>铲除原有地面砖、 &lt;含机具耗费&gt;  &lt;含基础剔除&gt;</w:t>
            </w:r>
          </w:p>
        </w:tc>
        <w:tc>
          <w:tcPr>
            <w:tcW w:w="640"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178</w:t>
            </w:r>
          </w:p>
        </w:tc>
        <w:tc>
          <w:tcPr>
            <w:tcW w:w="656"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m</w:t>
            </w:r>
            <w:r>
              <w:rPr>
                <w:rFonts w:ascii="宋体" w:hAnsi="宋体"/>
                <w:color w:val="000000"/>
                <w:sz w:val="24"/>
                <w:szCs w:val="24"/>
                <w:vertAlign w:val="superscript"/>
              </w:rPr>
              <w:t>2</w:t>
            </w:r>
          </w:p>
        </w:tc>
        <w:tc>
          <w:tcPr>
            <w:tcW w:w="1590" w:type="dxa"/>
            <w:noWrap w:val="0"/>
            <w:vAlign w:val="center"/>
          </w:tcPr>
          <w:p>
            <w:pPr>
              <w:widowControl/>
              <w:jc w:val="center"/>
              <w:rPr>
                <w:rFonts w:hint="eastAsia" w:ascii="宋体" w:cs="宋体"/>
                <w:color w:val="0000FF"/>
                <w:kern w:val="0"/>
                <w:sz w:val="24"/>
                <w:szCs w:val="24"/>
                <w:lang w:bidi="ar-SA"/>
              </w:rPr>
            </w:pPr>
            <w:r>
              <w:rPr>
                <w:rFonts w:hint="eastAsia" w:ascii="宋体" w:hAnsi="宋体" w:cs="宋体"/>
                <w:color w:val="000000"/>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2</w:t>
            </w:r>
          </w:p>
        </w:tc>
        <w:tc>
          <w:tcPr>
            <w:tcW w:w="1273"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地面建渣</w:t>
            </w:r>
          </w:p>
        </w:tc>
        <w:tc>
          <w:tcPr>
            <w:tcW w:w="5413" w:type="dxa"/>
            <w:noWrap w:val="0"/>
            <w:vAlign w:val="center"/>
          </w:tcPr>
          <w:p>
            <w:pPr>
              <w:widowControl/>
              <w:jc w:val="left"/>
              <w:rPr>
                <w:rFonts w:hint="eastAsia" w:ascii="宋体" w:cs="宋体"/>
                <w:color w:val="0000FF"/>
                <w:kern w:val="0"/>
                <w:sz w:val="24"/>
                <w:szCs w:val="24"/>
                <w:lang w:bidi="ar-SA"/>
              </w:rPr>
            </w:pPr>
            <w:r>
              <w:rPr>
                <w:rFonts w:hint="eastAsia" w:ascii="宋体" w:hAnsi="宋体"/>
                <w:color w:val="000000"/>
                <w:sz w:val="24"/>
                <w:szCs w:val="24"/>
              </w:rPr>
              <w:t>清理+搬运下楼+上车</w:t>
            </w:r>
          </w:p>
        </w:tc>
        <w:tc>
          <w:tcPr>
            <w:tcW w:w="640"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178</w:t>
            </w:r>
          </w:p>
        </w:tc>
        <w:tc>
          <w:tcPr>
            <w:tcW w:w="656"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m</w:t>
            </w:r>
            <w:r>
              <w:rPr>
                <w:rFonts w:ascii="宋体" w:hAnsi="宋体"/>
                <w:color w:val="000000"/>
                <w:sz w:val="24"/>
                <w:szCs w:val="24"/>
                <w:vertAlign w:val="superscript"/>
              </w:rPr>
              <w:t>2</w:t>
            </w:r>
          </w:p>
        </w:tc>
        <w:tc>
          <w:tcPr>
            <w:tcW w:w="1590" w:type="dxa"/>
            <w:noWrap w:val="0"/>
            <w:vAlign w:val="center"/>
          </w:tcPr>
          <w:p>
            <w:pPr>
              <w:widowControl/>
              <w:jc w:val="center"/>
              <w:rPr>
                <w:rFonts w:hint="eastAsia" w:ascii="宋体" w:cs="宋体"/>
                <w:color w:val="0000FF"/>
                <w:kern w:val="0"/>
                <w:sz w:val="24"/>
                <w:szCs w:val="24"/>
                <w:lang w:bidi="ar-SA"/>
              </w:rPr>
            </w:pPr>
            <w:r>
              <w:rPr>
                <w:rFonts w:hint="eastAsia" w:ascii="宋体" w:hAnsi="宋体" w:cs="宋体"/>
                <w:color w:val="000000"/>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3</w:t>
            </w:r>
          </w:p>
        </w:tc>
        <w:tc>
          <w:tcPr>
            <w:tcW w:w="1273"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建渣清运</w:t>
            </w:r>
          </w:p>
        </w:tc>
        <w:tc>
          <w:tcPr>
            <w:tcW w:w="5413" w:type="dxa"/>
            <w:noWrap w:val="0"/>
            <w:vAlign w:val="center"/>
          </w:tcPr>
          <w:p>
            <w:pPr>
              <w:widowControl/>
              <w:jc w:val="left"/>
              <w:rPr>
                <w:rFonts w:hint="eastAsia" w:ascii="宋体" w:cs="宋体"/>
                <w:color w:val="0000FF"/>
                <w:kern w:val="0"/>
                <w:sz w:val="24"/>
                <w:szCs w:val="24"/>
                <w:lang w:bidi="ar-SA"/>
              </w:rPr>
            </w:pPr>
            <w:r>
              <w:rPr>
                <w:rFonts w:hint="eastAsia" w:ascii="宋体" w:hAnsi="宋体"/>
                <w:color w:val="000000"/>
                <w:sz w:val="24"/>
                <w:szCs w:val="24"/>
              </w:rPr>
              <w:t>运费、倒场费</w:t>
            </w:r>
          </w:p>
        </w:tc>
        <w:tc>
          <w:tcPr>
            <w:tcW w:w="640"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11</w:t>
            </w:r>
          </w:p>
        </w:tc>
        <w:tc>
          <w:tcPr>
            <w:tcW w:w="656"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m³</w:t>
            </w:r>
          </w:p>
        </w:tc>
        <w:tc>
          <w:tcPr>
            <w:tcW w:w="1590" w:type="dxa"/>
            <w:noWrap w:val="0"/>
            <w:vAlign w:val="center"/>
          </w:tcPr>
          <w:p>
            <w:pPr>
              <w:widowControl/>
              <w:jc w:val="center"/>
              <w:rPr>
                <w:rFonts w:hint="eastAsia" w:ascii="宋体" w:cs="宋体"/>
                <w:color w:val="0000FF"/>
                <w:kern w:val="0"/>
                <w:sz w:val="24"/>
                <w:szCs w:val="24"/>
                <w:lang w:bidi="ar-SA"/>
              </w:rPr>
            </w:pPr>
            <w:r>
              <w:rPr>
                <w:rFonts w:hint="eastAsia" w:ascii="宋体" w:hAnsi="宋体" w:cs="宋体"/>
                <w:color w:val="000000"/>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4</w:t>
            </w:r>
          </w:p>
        </w:tc>
        <w:tc>
          <w:tcPr>
            <w:tcW w:w="1273"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找平处理地面</w:t>
            </w:r>
          </w:p>
        </w:tc>
        <w:tc>
          <w:tcPr>
            <w:tcW w:w="5413" w:type="dxa"/>
            <w:noWrap w:val="0"/>
            <w:vAlign w:val="center"/>
          </w:tcPr>
          <w:p>
            <w:pPr>
              <w:widowControl/>
              <w:jc w:val="left"/>
              <w:rPr>
                <w:rFonts w:hint="eastAsia" w:ascii="宋体" w:hAnsi="宋体"/>
                <w:color w:val="000000"/>
                <w:sz w:val="24"/>
                <w:szCs w:val="24"/>
              </w:rPr>
            </w:pPr>
            <w:r>
              <w:rPr>
                <w:rFonts w:hint="eastAsia" w:ascii="宋体" w:hAnsi="宋体"/>
                <w:color w:val="000000"/>
                <w:sz w:val="24"/>
                <w:szCs w:val="24"/>
              </w:rPr>
              <w:t>325水泥+中沙</w:t>
            </w:r>
          </w:p>
        </w:tc>
        <w:tc>
          <w:tcPr>
            <w:tcW w:w="640"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178</w:t>
            </w:r>
          </w:p>
        </w:tc>
        <w:tc>
          <w:tcPr>
            <w:tcW w:w="656"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m</w:t>
            </w:r>
            <w:r>
              <w:rPr>
                <w:rFonts w:ascii="宋体" w:hAnsi="宋体"/>
                <w:color w:val="000000"/>
                <w:sz w:val="24"/>
                <w:szCs w:val="24"/>
                <w:vertAlign w:val="superscript"/>
              </w:rPr>
              <w:t>2</w:t>
            </w:r>
          </w:p>
        </w:tc>
        <w:tc>
          <w:tcPr>
            <w:tcW w:w="1590" w:type="dxa"/>
            <w:noWrap w:val="0"/>
            <w:vAlign w:val="center"/>
          </w:tcPr>
          <w:p>
            <w:pPr>
              <w:widowControl/>
              <w:jc w:val="center"/>
              <w:rPr>
                <w:rFonts w:hint="eastAsia" w:ascii="宋体" w:cs="宋体"/>
                <w:color w:val="0000FF"/>
                <w:kern w:val="0"/>
                <w:sz w:val="24"/>
                <w:szCs w:val="24"/>
                <w:lang w:bidi="ar-SA"/>
              </w:rPr>
            </w:pPr>
            <w:r>
              <w:rPr>
                <w:rFonts w:hint="eastAsia" w:ascii="宋体" w:hAnsi="宋体" w:cs="宋体"/>
                <w:color w:val="000000"/>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5</w:t>
            </w:r>
          </w:p>
        </w:tc>
        <w:tc>
          <w:tcPr>
            <w:tcW w:w="1273"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室内强电改造</w:t>
            </w:r>
          </w:p>
        </w:tc>
        <w:tc>
          <w:tcPr>
            <w:tcW w:w="5413" w:type="dxa"/>
            <w:noWrap w:val="0"/>
            <w:vAlign w:val="center"/>
          </w:tcPr>
          <w:p>
            <w:pPr>
              <w:widowControl/>
              <w:jc w:val="left"/>
              <w:rPr>
                <w:rFonts w:hint="eastAsia" w:ascii="宋体" w:hAnsi="宋体"/>
                <w:color w:val="000000"/>
                <w:sz w:val="24"/>
                <w:szCs w:val="24"/>
              </w:rPr>
            </w:pPr>
            <w:r>
              <w:rPr>
                <w:rFonts w:hint="eastAsia" w:ascii="宋体" w:hAnsi="宋体"/>
                <w:color w:val="000000"/>
                <w:sz w:val="24"/>
                <w:szCs w:val="24"/>
              </w:rPr>
              <w:t>铜芯线</w:t>
            </w:r>
            <w:r>
              <w:rPr>
                <w:rFonts w:hint="eastAsia" w:ascii="宋体" w:hAnsi="宋体"/>
                <w:color w:val="000000"/>
                <w:sz w:val="24"/>
                <w:szCs w:val="24"/>
                <w:lang w:eastAsia="zh-CN"/>
              </w:rPr>
              <w:t>（主线</w:t>
            </w:r>
            <w:r>
              <w:rPr>
                <w:rFonts w:hint="eastAsia" w:ascii="宋体" w:hAnsi="宋体"/>
                <w:color w:val="000000"/>
                <w:sz w:val="24"/>
                <w:szCs w:val="24"/>
                <w:lang w:val="en-US" w:eastAsia="zh-CN"/>
              </w:rPr>
              <w:t>不低于</w:t>
            </w:r>
            <w:r>
              <w:rPr>
                <w:rFonts w:hint="eastAsia" w:ascii="宋体" w:hAnsi="宋体"/>
                <w:color w:val="000000"/>
                <w:sz w:val="24"/>
                <w:szCs w:val="24"/>
                <w:lang w:eastAsia="zh-CN"/>
              </w:rPr>
              <w:t>10平方、空调线</w:t>
            </w:r>
            <w:r>
              <w:rPr>
                <w:rFonts w:hint="eastAsia" w:ascii="宋体" w:hAnsi="宋体"/>
                <w:color w:val="000000"/>
                <w:sz w:val="24"/>
                <w:szCs w:val="24"/>
                <w:lang w:val="en-US" w:eastAsia="zh-CN"/>
              </w:rPr>
              <w:t>不低于</w:t>
            </w:r>
            <w:r>
              <w:rPr>
                <w:rFonts w:hint="eastAsia" w:ascii="宋体" w:hAnsi="宋体"/>
                <w:color w:val="000000"/>
                <w:sz w:val="24"/>
                <w:szCs w:val="24"/>
                <w:lang w:eastAsia="zh-CN"/>
              </w:rPr>
              <w:t>4平方、开关灯线</w:t>
            </w:r>
            <w:r>
              <w:rPr>
                <w:rFonts w:hint="eastAsia" w:ascii="宋体" w:hAnsi="宋体"/>
                <w:color w:val="000000"/>
                <w:sz w:val="24"/>
                <w:szCs w:val="24"/>
                <w:lang w:val="en-US" w:eastAsia="zh-CN"/>
              </w:rPr>
              <w:t>不低于</w:t>
            </w:r>
            <w:r>
              <w:rPr>
                <w:rFonts w:hint="eastAsia" w:ascii="宋体" w:hAnsi="宋体"/>
                <w:color w:val="000000"/>
                <w:sz w:val="24"/>
                <w:szCs w:val="24"/>
                <w:lang w:eastAsia="zh-CN"/>
              </w:rPr>
              <w:t>2.5平方、筒灯线</w:t>
            </w:r>
            <w:r>
              <w:rPr>
                <w:rFonts w:hint="eastAsia" w:ascii="宋体" w:hAnsi="宋体"/>
                <w:color w:val="000000"/>
                <w:sz w:val="24"/>
                <w:szCs w:val="24"/>
                <w:lang w:val="en-US" w:eastAsia="zh-CN"/>
              </w:rPr>
              <w:t>不低于</w:t>
            </w:r>
            <w:r>
              <w:rPr>
                <w:rFonts w:hint="eastAsia" w:ascii="宋体" w:hAnsi="宋体"/>
                <w:color w:val="000000"/>
                <w:sz w:val="24"/>
                <w:szCs w:val="24"/>
                <w:lang w:eastAsia="zh-CN"/>
              </w:rPr>
              <w:t>1.5平方，电压等级450/750 V）</w:t>
            </w:r>
            <w:r>
              <w:rPr>
                <w:rFonts w:hint="eastAsia" w:ascii="宋体" w:hAnsi="宋体"/>
                <w:color w:val="000000"/>
                <w:sz w:val="24"/>
                <w:szCs w:val="24"/>
              </w:rPr>
              <w:t>、线管、线盒、线卡、&lt;照明、开关、插座线路&gt;</w:t>
            </w:r>
          </w:p>
        </w:tc>
        <w:tc>
          <w:tcPr>
            <w:tcW w:w="640"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 xml:space="preserve">178.00 </w:t>
            </w:r>
          </w:p>
        </w:tc>
        <w:tc>
          <w:tcPr>
            <w:tcW w:w="656"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m</w:t>
            </w:r>
            <w:r>
              <w:rPr>
                <w:rFonts w:ascii="宋体" w:hAnsi="宋体"/>
                <w:color w:val="000000"/>
                <w:sz w:val="24"/>
                <w:szCs w:val="24"/>
                <w:vertAlign w:val="superscript"/>
              </w:rPr>
              <w:t>2</w:t>
            </w:r>
          </w:p>
        </w:tc>
        <w:tc>
          <w:tcPr>
            <w:tcW w:w="1590" w:type="dxa"/>
            <w:noWrap w:val="0"/>
            <w:vAlign w:val="center"/>
          </w:tcPr>
          <w:p>
            <w:pPr>
              <w:widowControl/>
              <w:jc w:val="center"/>
              <w:rPr>
                <w:rFonts w:hint="eastAsia" w:ascii="宋体" w:cs="宋体"/>
                <w:color w:val="0000FF"/>
                <w:kern w:val="0"/>
                <w:sz w:val="24"/>
                <w:szCs w:val="24"/>
                <w:lang w:bidi="ar-SA"/>
              </w:rPr>
            </w:pPr>
            <w:r>
              <w:rPr>
                <w:rFonts w:hint="eastAsia" w:ascii="宋体" w:hAnsi="宋体" w:cs="宋体"/>
                <w:color w:val="000000"/>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6</w:t>
            </w:r>
          </w:p>
        </w:tc>
        <w:tc>
          <w:tcPr>
            <w:tcW w:w="1273"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地面地砖铺设</w:t>
            </w:r>
          </w:p>
        </w:tc>
        <w:tc>
          <w:tcPr>
            <w:tcW w:w="5413" w:type="dxa"/>
            <w:noWrap w:val="0"/>
            <w:vAlign w:val="center"/>
          </w:tcPr>
          <w:p>
            <w:pPr>
              <w:widowControl/>
              <w:jc w:val="left"/>
              <w:rPr>
                <w:rFonts w:hint="eastAsia" w:ascii="宋体" w:cs="宋体"/>
                <w:color w:val="0000FF"/>
                <w:kern w:val="0"/>
                <w:sz w:val="24"/>
                <w:szCs w:val="24"/>
                <w:lang w:bidi="ar-SA"/>
              </w:rPr>
            </w:pPr>
            <w:r>
              <w:rPr>
                <w:rFonts w:hint="eastAsia" w:ascii="宋体" w:hAnsi="宋体"/>
                <w:color w:val="000000"/>
                <w:sz w:val="24"/>
                <w:szCs w:val="24"/>
              </w:rPr>
              <w:t xml:space="preserve">800*800地砖、325水泥、中沙、&lt;含机具耗费&gt;  </w:t>
            </w:r>
          </w:p>
        </w:tc>
        <w:tc>
          <w:tcPr>
            <w:tcW w:w="640"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 xml:space="preserve">178.00 </w:t>
            </w:r>
          </w:p>
        </w:tc>
        <w:tc>
          <w:tcPr>
            <w:tcW w:w="656"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m</w:t>
            </w:r>
            <w:r>
              <w:rPr>
                <w:rFonts w:ascii="宋体" w:hAnsi="宋体"/>
                <w:color w:val="000000"/>
                <w:sz w:val="24"/>
                <w:szCs w:val="24"/>
                <w:vertAlign w:val="superscript"/>
              </w:rPr>
              <w:t>2</w:t>
            </w:r>
          </w:p>
        </w:tc>
        <w:tc>
          <w:tcPr>
            <w:tcW w:w="1590" w:type="dxa"/>
            <w:noWrap w:val="0"/>
            <w:vAlign w:val="center"/>
          </w:tcPr>
          <w:p>
            <w:pPr>
              <w:widowControl/>
              <w:jc w:val="center"/>
              <w:rPr>
                <w:rFonts w:hint="eastAsia" w:ascii="宋体" w:cs="宋体"/>
                <w:color w:val="0000FF"/>
                <w:kern w:val="0"/>
                <w:sz w:val="24"/>
                <w:szCs w:val="24"/>
                <w:lang w:bidi="ar-SA"/>
              </w:rPr>
            </w:pPr>
            <w:r>
              <w:rPr>
                <w:rFonts w:hint="eastAsia" w:ascii="宋体" w:hAnsi="宋体" w:cs="宋体"/>
                <w:color w:val="000000"/>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7</w:t>
            </w:r>
          </w:p>
        </w:tc>
        <w:tc>
          <w:tcPr>
            <w:tcW w:w="1273"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踢脚线</w:t>
            </w:r>
          </w:p>
        </w:tc>
        <w:tc>
          <w:tcPr>
            <w:tcW w:w="5413" w:type="dxa"/>
            <w:noWrap w:val="0"/>
            <w:vAlign w:val="center"/>
          </w:tcPr>
          <w:p>
            <w:pPr>
              <w:widowControl/>
              <w:jc w:val="left"/>
              <w:rPr>
                <w:rFonts w:hint="eastAsia" w:ascii="宋体" w:cs="宋体"/>
                <w:color w:val="0000FF"/>
                <w:kern w:val="0"/>
                <w:sz w:val="24"/>
                <w:szCs w:val="24"/>
                <w:lang w:bidi="ar-SA"/>
              </w:rPr>
            </w:pPr>
            <w:r>
              <w:rPr>
                <w:rFonts w:hint="eastAsia" w:ascii="宋体" w:hAnsi="宋体"/>
                <w:color w:val="000000"/>
                <w:sz w:val="24"/>
                <w:szCs w:val="24"/>
              </w:rPr>
              <w:t>脚线砖、325水泥、细沙、</w:t>
            </w:r>
          </w:p>
        </w:tc>
        <w:tc>
          <w:tcPr>
            <w:tcW w:w="640"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 xml:space="preserve">52.00 </w:t>
            </w:r>
          </w:p>
        </w:tc>
        <w:tc>
          <w:tcPr>
            <w:tcW w:w="656"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m</w:t>
            </w:r>
          </w:p>
        </w:tc>
        <w:tc>
          <w:tcPr>
            <w:tcW w:w="1590" w:type="dxa"/>
            <w:noWrap w:val="0"/>
            <w:vAlign w:val="center"/>
          </w:tcPr>
          <w:p>
            <w:pPr>
              <w:widowControl/>
              <w:jc w:val="center"/>
              <w:rPr>
                <w:rFonts w:hint="eastAsia" w:ascii="宋体" w:cs="宋体"/>
                <w:color w:val="0000FF"/>
                <w:kern w:val="0"/>
                <w:sz w:val="24"/>
                <w:szCs w:val="24"/>
                <w:lang w:bidi="ar-SA"/>
              </w:rPr>
            </w:pPr>
            <w:r>
              <w:rPr>
                <w:rFonts w:hint="eastAsia" w:ascii="宋体" w:hAnsi="宋体" w:cs="宋体"/>
                <w:color w:val="000000"/>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8</w:t>
            </w:r>
          </w:p>
        </w:tc>
        <w:tc>
          <w:tcPr>
            <w:tcW w:w="1273"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窗边爵士白大理石</w:t>
            </w:r>
          </w:p>
        </w:tc>
        <w:tc>
          <w:tcPr>
            <w:tcW w:w="5413" w:type="dxa"/>
            <w:noWrap w:val="0"/>
            <w:vAlign w:val="center"/>
          </w:tcPr>
          <w:p>
            <w:pPr>
              <w:widowControl/>
              <w:jc w:val="left"/>
              <w:rPr>
                <w:rFonts w:hint="eastAsia" w:ascii="宋体" w:cs="宋体"/>
                <w:color w:val="0000FF"/>
                <w:kern w:val="0"/>
                <w:sz w:val="24"/>
                <w:szCs w:val="24"/>
                <w:lang w:bidi="ar-SA"/>
              </w:rPr>
            </w:pPr>
            <w:r>
              <w:rPr>
                <w:rFonts w:hint="eastAsia" w:ascii="宋体" w:hAnsi="宋体"/>
                <w:color w:val="000000"/>
                <w:sz w:val="24"/>
                <w:szCs w:val="24"/>
              </w:rPr>
              <w:t>大理石+辅料</w:t>
            </w:r>
          </w:p>
        </w:tc>
        <w:tc>
          <w:tcPr>
            <w:tcW w:w="640"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 xml:space="preserve">12.00 </w:t>
            </w:r>
          </w:p>
        </w:tc>
        <w:tc>
          <w:tcPr>
            <w:tcW w:w="656"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m</w:t>
            </w:r>
          </w:p>
        </w:tc>
        <w:tc>
          <w:tcPr>
            <w:tcW w:w="1590" w:type="dxa"/>
            <w:noWrap w:val="0"/>
            <w:vAlign w:val="center"/>
          </w:tcPr>
          <w:p>
            <w:pPr>
              <w:widowControl/>
              <w:jc w:val="center"/>
              <w:rPr>
                <w:rFonts w:hint="eastAsia" w:ascii="宋体" w:cs="宋体"/>
                <w:color w:val="0000FF"/>
                <w:kern w:val="0"/>
                <w:sz w:val="24"/>
                <w:szCs w:val="24"/>
                <w:lang w:bidi="ar-SA"/>
              </w:rPr>
            </w:pPr>
            <w:r>
              <w:rPr>
                <w:rFonts w:hint="eastAsia" w:ascii="宋体" w:hAnsi="宋体" w:cs="宋体"/>
                <w:color w:val="000000"/>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9</w:t>
            </w:r>
          </w:p>
        </w:tc>
        <w:tc>
          <w:tcPr>
            <w:tcW w:w="1273"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顶面喷涂黑乳胶漆</w:t>
            </w:r>
          </w:p>
        </w:tc>
        <w:tc>
          <w:tcPr>
            <w:tcW w:w="5413" w:type="dxa"/>
            <w:noWrap w:val="0"/>
            <w:vAlign w:val="center"/>
          </w:tcPr>
          <w:p>
            <w:pPr>
              <w:widowControl/>
              <w:jc w:val="left"/>
              <w:rPr>
                <w:rFonts w:hint="eastAsia" w:ascii="宋体" w:cs="宋体"/>
                <w:color w:val="0000FF"/>
                <w:kern w:val="0"/>
                <w:sz w:val="24"/>
                <w:szCs w:val="24"/>
                <w:lang w:bidi="ar-SA"/>
              </w:rPr>
            </w:pPr>
            <w:r>
              <w:rPr>
                <w:rFonts w:hint="eastAsia" w:ascii="宋体" w:hAnsi="宋体"/>
                <w:color w:val="000000"/>
                <w:sz w:val="24"/>
                <w:szCs w:val="24"/>
              </w:rPr>
              <w:t>黑色漆、底漆1遍、面漆2遍、</w:t>
            </w:r>
          </w:p>
        </w:tc>
        <w:tc>
          <w:tcPr>
            <w:tcW w:w="640"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 xml:space="preserve">235.00 </w:t>
            </w:r>
          </w:p>
        </w:tc>
        <w:tc>
          <w:tcPr>
            <w:tcW w:w="656"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m</w:t>
            </w:r>
            <w:r>
              <w:rPr>
                <w:rFonts w:ascii="宋体" w:hAnsi="宋体"/>
                <w:color w:val="000000"/>
                <w:sz w:val="24"/>
                <w:szCs w:val="24"/>
                <w:vertAlign w:val="superscript"/>
              </w:rPr>
              <w:t>2</w:t>
            </w:r>
          </w:p>
        </w:tc>
        <w:tc>
          <w:tcPr>
            <w:tcW w:w="1590" w:type="dxa"/>
            <w:noWrap w:val="0"/>
            <w:vAlign w:val="center"/>
          </w:tcPr>
          <w:p>
            <w:pPr>
              <w:widowControl/>
              <w:jc w:val="center"/>
              <w:rPr>
                <w:rFonts w:hint="eastAsia" w:ascii="宋体" w:cs="宋体"/>
                <w:color w:val="0000FF"/>
                <w:kern w:val="0"/>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10</w:t>
            </w:r>
          </w:p>
        </w:tc>
        <w:tc>
          <w:tcPr>
            <w:tcW w:w="1273"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顶面石膏板边顶</w:t>
            </w:r>
          </w:p>
        </w:tc>
        <w:tc>
          <w:tcPr>
            <w:tcW w:w="5413" w:type="dxa"/>
            <w:noWrap w:val="0"/>
            <w:vAlign w:val="center"/>
          </w:tcPr>
          <w:p>
            <w:pPr>
              <w:widowControl/>
              <w:jc w:val="left"/>
              <w:rPr>
                <w:rFonts w:hint="eastAsia" w:ascii="宋体" w:cs="宋体"/>
                <w:color w:val="0000FF"/>
                <w:kern w:val="0"/>
                <w:sz w:val="24"/>
                <w:szCs w:val="24"/>
                <w:lang w:bidi="ar-SA"/>
              </w:rPr>
            </w:pPr>
            <w:r>
              <w:rPr>
                <w:rFonts w:hint="eastAsia" w:ascii="宋体" w:hAnsi="宋体"/>
                <w:color w:val="000000"/>
                <w:sz w:val="24"/>
                <w:szCs w:val="24"/>
              </w:rPr>
              <w:t>阻燃复合木工板1200*2400+纸面石膏板1200*2400、轻钢龙骨+局部24x35木龙骨+铁膨胀螺丝+高强自攻螺丝+防火涂料+防锈漆&lt;含机具耗费&gt;</w:t>
            </w:r>
          </w:p>
        </w:tc>
        <w:tc>
          <w:tcPr>
            <w:tcW w:w="640"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 xml:space="preserve">73.00 </w:t>
            </w:r>
          </w:p>
        </w:tc>
        <w:tc>
          <w:tcPr>
            <w:tcW w:w="656"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m</w:t>
            </w:r>
          </w:p>
        </w:tc>
        <w:tc>
          <w:tcPr>
            <w:tcW w:w="1590" w:type="dxa"/>
            <w:noWrap w:val="0"/>
            <w:vAlign w:val="center"/>
          </w:tcPr>
          <w:p>
            <w:pPr>
              <w:widowControl/>
              <w:jc w:val="center"/>
              <w:rPr>
                <w:rFonts w:hint="eastAsia" w:ascii="宋体" w:cs="宋体"/>
                <w:color w:val="0000FF"/>
                <w:kern w:val="0"/>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11</w:t>
            </w:r>
          </w:p>
        </w:tc>
        <w:tc>
          <w:tcPr>
            <w:tcW w:w="1273"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顶面铝方通</w:t>
            </w:r>
          </w:p>
        </w:tc>
        <w:tc>
          <w:tcPr>
            <w:tcW w:w="5413" w:type="dxa"/>
            <w:noWrap w:val="0"/>
            <w:vAlign w:val="center"/>
          </w:tcPr>
          <w:p>
            <w:pPr>
              <w:widowControl/>
              <w:jc w:val="left"/>
              <w:rPr>
                <w:rFonts w:hint="eastAsia" w:ascii="宋体" w:cs="宋体"/>
                <w:color w:val="0000FF"/>
                <w:kern w:val="0"/>
                <w:sz w:val="24"/>
                <w:szCs w:val="24"/>
                <w:lang w:bidi="ar-SA"/>
              </w:rPr>
            </w:pPr>
            <w:r>
              <w:rPr>
                <w:rFonts w:hint="eastAsia" w:ascii="宋体" w:hAnsi="宋体"/>
                <w:color w:val="000000"/>
                <w:sz w:val="24"/>
                <w:szCs w:val="24"/>
              </w:rPr>
              <w:t>厚铝方通+特自合金龙骨+铁膨胀螺丝+吊丝&lt;含机具耗费&gt;</w:t>
            </w:r>
          </w:p>
        </w:tc>
        <w:tc>
          <w:tcPr>
            <w:tcW w:w="640"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 xml:space="preserve">178.00 </w:t>
            </w:r>
          </w:p>
        </w:tc>
        <w:tc>
          <w:tcPr>
            <w:tcW w:w="656"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m</w:t>
            </w:r>
            <w:r>
              <w:rPr>
                <w:rFonts w:ascii="宋体" w:hAnsi="宋体"/>
                <w:color w:val="000000"/>
                <w:sz w:val="24"/>
                <w:szCs w:val="24"/>
                <w:vertAlign w:val="superscript"/>
              </w:rPr>
              <w:t>2</w:t>
            </w:r>
          </w:p>
        </w:tc>
        <w:tc>
          <w:tcPr>
            <w:tcW w:w="1590" w:type="dxa"/>
            <w:noWrap w:val="0"/>
            <w:vAlign w:val="center"/>
          </w:tcPr>
          <w:p>
            <w:pPr>
              <w:widowControl/>
              <w:jc w:val="center"/>
              <w:rPr>
                <w:rFonts w:hint="eastAsia" w:ascii="宋体" w:cs="宋体"/>
                <w:color w:val="0000FF"/>
                <w:kern w:val="0"/>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12</w:t>
            </w:r>
          </w:p>
        </w:tc>
        <w:tc>
          <w:tcPr>
            <w:tcW w:w="1273"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筒灯</w:t>
            </w:r>
          </w:p>
        </w:tc>
        <w:tc>
          <w:tcPr>
            <w:tcW w:w="5413" w:type="dxa"/>
            <w:noWrap w:val="0"/>
            <w:vAlign w:val="center"/>
          </w:tcPr>
          <w:p>
            <w:pPr>
              <w:widowControl/>
              <w:jc w:val="left"/>
              <w:rPr>
                <w:rFonts w:hint="eastAsia" w:ascii="宋体" w:hAnsi="宋体" w:cs="宋体"/>
                <w:color w:val="000000"/>
                <w:kern w:val="0"/>
                <w:sz w:val="24"/>
                <w:szCs w:val="24"/>
                <w:lang w:eastAsia="zh-CN"/>
              </w:rPr>
            </w:pPr>
            <w:r>
              <w:rPr>
                <w:rFonts w:hint="eastAsia" w:ascii="宋体" w:hAnsi="宋体" w:cs="宋体"/>
                <w:color w:val="000000"/>
                <w:kern w:val="0"/>
                <w:sz w:val="24"/>
                <w:szCs w:val="24"/>
              </w:rPr>
              <w:t>4寸圆形筒灯射灯带驱动，5W</w:t>
            </w:r>
            <w:r>
              <w:rPr>
                <w:rFonts w:hint="eastAsia" w:ascii="宋体" w:hAnsi="宋体" w:cs="宋体"/>
                <w:color w:val="000000"/>
                <w:kern w:val="0"/>
                <w:sz w:val="24"/>
                <w:szCs w:val="24"/>
                <w:lang w:eastAsia="zh-CN"/>
              </w:rPr>
              <w:t>（</w:t>
            </w:r>
            <w:r>
              <w:rPr>
                <w:rFonts w:hint="eastAsia" w:ascii="宋体" w:hAnsi="宋体" w:cs="宋体"/>
                <w:color w:val="000000"/>
                <w:kern w:val="0"/>
                <w:sz w:val="24"/>
                <w:szCs w:val="24"/>
                <w:lang w:val="en-US" w:eastAsia="zh-CN"/>
              </w:rPr>
              <w:t>国家节能产品认证</w:t>
            </w:r>
            <w:r>
              <w:rPr>
                <w:rFonts w:hint="eastAsia" w:ascii="宋体" w:hAnsi="宋体" w:cs="宋体"/>
                <w:color w:val="000000"/>
                <w:kern w:val="0"/>
                <w:sz w:val="24"/>
                <w:szCs w:val="24"/>
                <w:lang w:eastAsia="zh-CN"/>
              </w:rPr>
              <w:t>）</w:t>
            </w:r>
          </w:p>
        </w:tc>
        <w:tc>
          <w:tcPr>
            <w:tcW w:w="640"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 xml:space="preserve">72.00 </w:t>
            </w:r>
          </w:p>
        </w:tc>
        <w:tc>
          <w:tcPr>
            <w:tcW w:w="656"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个</w:t>
            </w:r>
          </w:p>
        </w:tc>
        <w:tc>
          <w:tcPr>
            <w:tcW w:w="1590" w:type="dxa"/>
            <w:noWrap w:val="0"/>
            <w:vAlign w:val="center"/>
          </w:tcPr>
          <w:p>
            <w:pPr>
              <w:widowControl/>
              <w:jc w:val="center"/>
              <w:rPr>
                <w:rFonts w:hint="eastAsia" w:ascii="宋体" w:cs="宋体"/>
                <w:color w:val="0000FF"/>
                <w:kern w:val="0"/>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13</w:t>
            </w:r>
          </w:p>
        </w:tc>
        <w:tc>
          <w:tcPr>
            <w:tcW w:w="1273"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灯带</w:t>
            </w:r>
          </w:p>
        </w:tc>
        <w:tc>
          <w:tcPr>
            <w:tcW w:w="5413" w:type="dxa"/>
            <w:noWrap w:val="0"/>
            <w:vAlign w:val="center"/>
          </w:tcPr>
          <w:p>
            <w:pPr>
              <w:widowControl/>
              <w:jc w:val="left"/>
              <w:rPr>
                <w:rFonts w:hint="eastAsia" w:ascii="宋体" w:hAnsi="宋体" w:cs="宋体"/>
                <w:color w:val="000000"/>
                <w:kern w:val="0"/>
                <w:sz w:val="24"/>
                <w:szCs w:val="24"/>
              </w:rPr>
            </w:pPr>
            <w:r>
              <w:rPr>
                <w:rFonts w:hint="eastAsia" w:ascii="宋体" w:hAnsi="宋体" w:cs="宋体"/>
                <w:color w:val="000000"/>
                <w:kern w:val="0"/>
                <w:sz w:val="24"/>
                <w:szCs w:val="24"/>
              </w:rPr>
              <w:t>长形灯带规格307，白色4W</w:t>
            </w:r>
            <w:r>
              <w:rPr>
                <w:rFonts w:hint="eastAsia" w:ascii="宋体" w:hAnsi="宋体" w:cs="宋体"/>
                <w:color w:val="000000"/>
                <w:kern w:val="0"/>
                <w:sz w:val="24"/>
                <w:szCs w:val="24"/>
                <w:lang w:eastAsia="zh-CN"/>
              </w:rPr>
              <w:t>（</w:t>
            </w:r>
            <w:r>
              <w:rPr>
                <w:rFonts w:hint="eastAsia" w:ascii="宋体" w:hAnsi="宋体" w:cs="宋体"/>
                <w:color w:val="000000"/>
                <w:kern w:val="0"/>
                <w:sz w:val="24"/>
                <w:szCs w:val="24"/>
                <w:lang w:val="en-US" w:eastAsia="zh-CN"/>
              </w:rPr>
              <w:t>国家节能产品认证</w:t>
            </w:r>
            <w:r>
              <w:rPr>
                <w:rFonts w:hint="eastAsia" w:ascii="宋体" w:hAnsi="宋体" w:cs="宋体"/>
                <w:color w:val="000000"/>
                <w:kern w:val="0"/>
                <w:sz w:val="24"/>
                <w:szCs w:val="24"/>
                <w:lang w:eastAsia="zh-CN"/>
              </w:rPr>
              <w:t>）</w:t>
            </w:r>
          </w:p>
        </w:tc>
        <w:tc>
          <w:tcPr>
            <w:tcW w:w="640"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 xml:space="preserve">99.00 </w:t>
            </w:r>
          </w:p>
        </w:tc>
        <w:tc>
          <w:tcPr>
            <w:tcW w:w="656"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m</w:t>
            </w:r>
          </w:p>
        </w:tc>
        <w:tc>
          <w:tcPr>
            <w:tcW w:w="1590" w:type="dxa"/>
            <w:noWrap w:val="0"/>
            <w:vAlign w:val="center"/>
          </w:tcPr>
          <w:p>
            <w:pPr>
              <w:widowControl/>
              <w:jc w:val="center"/>
              <w:rPr>
                <w:rFonts w:hint="eastAsia" w:ascii="宋体" w:cs="宋体"/>
                <w:color w:val="0000FF"/>
                <w:kern w:val="0"/>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14</w:t>
            </w:r>
          </w:p>
        </w:tc>
        <w:tc>
          <w:tcPr>
            <w:tcW w:w="1273"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长形灯</w:t>
            </w:r>
          </w:p>
        </w:tc>
        <w:tc>
          <w:tcPr>
            <w:tcW w:w="5413" w:type="dxa"/>
            <w:noWrap w:val="0"/>
            <w:vAlign w:val="center"/>
          </w:tcPr>
          <w:p>
            <w:pPr>
              <w:widowControl/>
              <w:jc w:val="left"/>
              <w:rPr>
                <w:rFonts w:hint="eastAsia" w:ascii="宋体" w:hAnsi="宋体" w:cs="宋体"/>
                <w:color w:val="000000"/>
                <w:kern w:val="0"/>
                <w:sz w:val="24"/>
                <w:szCs w:val="24"/>
              </w:rPr>
            </w:pPr>
            <w:r>
              <w:rPr>
                <w:rFonts w:hint="eastAsia" w:ascii="宋体" w:hAnsi="宋体" w:cs="宋体"/>
                <w:color w:val="000000"/>
                <w:kern w:val="0"/>
                <w:sz w:val="24"/>
                <w:szCs w:val="24"/>
              </w:rPr>
              <w:t>规格1200*70*40mm,白色24W</w:t>
            </w:r>
            <w:r>
              <w:rPr>
                <w:rFonts w:hint="eastAsia" w:ascii="宋体" w:hAnsi="宋体" w:cs="宋体"/>
                <w:color w:val="000000"/>
                <w:kern w:val="0"/>
                <w:sz w:val="24"/>
                <w:szCs w:val="24"/>
                <w:lang w:eastAsia="zh-CN"/>
              </w:rPr>
              <w:t>（</w:t>
            </w:r>
            <w:r>
              <w:rPr>
                <w:rFonts w:hint="eastAsia" w:ascii="宋体" w:hAnsi="宋体" w:cs="宋体"/>
                <w:color w:val="000000"/>
                <w:kern w:val="0"/>
                <w:sz w:val="24"/>
                <w:szCs w:val="24"/>
                <w:lang w:val="en-US" w:eastAsia="zh-CN"/>
              </w:rPr>
              <w:t>国家节能产品认证</w:t>
            </w:r>
            <w:r>
              <w:rPr>
                <w:rFonts w:hint="eastAsia" w:ascii="宋体" w:hAnsi="宋体" w:cs="宋体"/>
                <w:color w:val="000000"/>
                <w:kern w:val="0"/>
                <w:sz w:val="24"/>
                <w:szCs w:val="24"/>
                <w:lang w:eastAsia="zh-CN"/>
              </w:rPr>
              <w:t>）</w:t>
            </w:r>
          </w:p>
        </w:tc>
        <w:tc>
          <w:tcPr>
            <w:tcW w:w="640"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 xml:space="preserve">20.00 </w:t>
            </w:r>
          </w:p>
        </w:tc>
        <w:tc>
          <w:tcPr>
            <w:tcW w:w="656"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个</w:t>
            </w:r>
          </w:p>
        </w:tc>
        <w:tc>
          <w:tcPr>
            <w:tcW w:w="1590" w:type="dxa"/>
            <w:noWrap w:val="0"/>
            <w:vAlign w:val="center"/>
          </w:tcPr>
          <w:p>
            <w:pPr>
              <w:widowControl/>
              <w:jc w:val="center"/>
              <w:rPr>
                <w:rFonts w:hint="eastAsia" w:ascii="宋体" w:cs="宋体"/>
                <w:color w:val="0000FF"/>
                <w:kern w:val="0"/>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15</w:t>
            </w:r>
          </w:p>
        </w:tc>
        <w:tc>
          <w:tcPr>
            <w:tcW w:w="1273"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带门禁钢化玻璃门</w:t>
            </w:r>
          </w:p>
        </w:tc>
        <w:tc>
          <w:tcPr>
            <w:tcW w:w="5413" w:type="dxa"/>
            <w:noWrap w:val="0"/>
            <w:vAlign w:val="center"/>
          </w:tcPr>
          <w:p>
            <w:pPr>
              <w:widowControl/>
              <w:jc w:val="left"/>
              <w:rPr>
                <w:rFonts w:hint="eastAsia" w:ascii="宋体" w:hAnsi="宋体" w:cs="宋体"/>
                <w:color w:val="000000"/>
                <w:kern w:val="0"/>
                <w:sz w:val="24"/>
                <w:szCs w:val="24"/>
              </w:rPr>
            </w:pPr>
            <w:r>
              <w:rPr>
                <w:rFonts w:hint="eastAsia" w:ascii="宋体" w:hAnsi="宋体" w:cs="宋体"/>
                <w:color w:val="000000"/>
                <w:kern w:val="0"/>
                <w:sz w:val="24"/>
                <w:szCs w:val="24"/>
              </w:rPr>
              <w:t>订制钢化玻璃带门禁+磨边+地弹簧+拉手</w:t>
            </w:r>
          </w:p>
        </w:tc>
        <w:tc>
          <w:tcPr>
            <w:tcW w:w="640"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 xml:space="preserve">5.00 </w:t>
            </w:r>
          </w:p>
        </w:tc>
        <w:tc>
          <w:tcPr>
            <w:tcW w:w="656"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m</w:t>
            </w:r>
            <w:r>
              <w:rPr>
                <w:rFonts w:ascii="宋体" w:hAnsi="宋体"/>
                <w:color w:val="000000"/>
                <w:sz w:val="24"/>
                <w:szCs w:val="24"/>
                <w:vertAlign w:val="superscript"/>
              </w:rPr>
              <w:t>2</w:t>
            </w:r>
          </w:p>
        </w:tc>
        <w:tc>
          <w:tcPr>
            <w:tcW w:w="1590" w:type="dxa"/>
            <w:noWrap w:val="0"/>
            <w:vAlign w:val="center"/>
          </w:tcPr>
          <w:p>
            <w:pPr>
              <w:widowControl/>
              <w:jc w:val="center"/>
              <w:rPr>
                <w:rFonts w:hint="eastAsia" w:ascii="宋体" w:cs="宋体"/>
                <w:color w:val="0000FF"/>
                <w:kern w:val="0"/>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16</w:t>
            </w:r>
          </w:p>
        </w:tc>
        <w:tc>
          <w:tcPr>
            <w:tcW w:w="1273"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门坎大理石</w:t>
            </w:r>
          </w:p>
        </w:tc>
        <w:tc>
          <w:tcPr>
            <w:tcW w:w="5413" w:type="dxa"/>
            <w:noWrap w:val="0"/>
            <w:vAlign w:val="center"/>
          </w:tcPr>
          <w:p>
            <w:pPr>
              <w:widowControl/>
              <w:jc w:val="left"/>
              <w:rPr>
                <w:rFonts w:hint="eastAsia" w:ascii="宋体" w:cs="宋体"/>
                <w:color w:val="0000FF"/>
                <w:kern w:val="0"/>
                <w:sz w:val="24"/>
                <w:szCs w:val="24"/>
                <w:lang w:bidi="ar-SA"/>
              </w:rPr>
            </w:pPr>
            <w:r>
              <w:rPr>
                <w:rFonts w:hint="eastAsia" w:ascii="宋体" w:hAnsi="宋体"/>
                <w:color w:val="000000"/>
                <w:sz w:val="24"/>
                <w:szCs w:val="24"/>
              </w:rPr>
              <w:t>辅料</w:t>
            </w:r>
          </w:p>
        </w:tc>
        <w:tc>
          <w:tcPr>
            <w:tcW w:w="640"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 xml:space="preserve">4.00 </w:t>
            </w:r>
          </w:p>
        </w:tc>
        <w:tc>
          <w:tcPr>
            <w:tcW w:w="656"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m</w:t>
            </w:r>
          </w:p>
        </w:tc>
        <w:tc>
          <w:tcPr>
            <w:tcW w:w="1590" w:type="dxa"/>
            <w:noWrap w:val="0"/>
            <w:vAlign w:val="center"/>
          </w:tcPr>
          <w:p>
            <w:pPr>
              <w:widowControl/>
              <w:jc w:val="center"/>
              <w:rPr>
                <w:rFonts w:hint="eastAsia" w:ascii="宋体" w:cs="宋体"/>
                <w:color w:val="0000FF"/>
                <w:kern w:val="0"/>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17</w:t>
            </w:r>
          </w:p>
        </w:tc>
        <w:tc>
          <w:tcPr>
            <w:tcW w:w="1273"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顶墙面仿瓷工程</w:t>
            </w:r>
          </w:p>
        </w:tc>
        <w:tc>
          <w:tcPr>
            <w:tcW w:w="5413" w:type="dxa"/>
            <w:noWrap w:val="0"/>
            <w:vAlign w:val="center"/>
          </w:tcPr>
          <w:p>
            <w:pPr>
              <w:widowControl/>
              <w:jc w:val="left"/>
              <w:rPr>
                <w:rFonts w:hint="eastAsia" w:ascii="宋体" w:cs="宋体"/>
                <w:color w:val="0000FF"/>
                <w:kern w:val="0"/>
                <w:sz w:val="24"/>
                <w:szCs w:val="24"/>
                <w:lang w:bidi="ar-SA"/>
              </w:rPr>
            </w:pPr>
            <w:r>
              <w:rPr>
                <w:rFonts w:hint="eastAsia" w:ascii="宋体" w:hAnsi="宋体"/>
                <w:color w:val="000000"/>
                <w:sz w:val="24"/>
                <w:szCs w:val="24"/>
              </w:rPr>
              <w:t>808胶水+石膏粉找底一遍+成品腻子粉两遍+打磨  &lt;按展开面积算&gt;</w:t>
            </w:r>
          </w:p>
        </w:tc>
        <w:tc>
          <w:tcPr>
            <w:tcW w:w="640"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 xml:space="preserve">230.00 </w:t>
            </w:r>
          </w:p>
        </w:tc>
        <w:tc>
          <w:tcPr>
            <w:tcW w:w="656"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m</w:t>
            </w:r>
            <w:r>
              <w:rPr>
                <w:rFonts w:ascii="宋体" w:hAnsi="宋体"/>
                <w:color w:val="000000"/>
                <w:sz w:val="24"/>
                <w:szCs w:val="24"/>
                <w:vertAlign w:val="superscript"/>
              </w:rPr>
              <w:t>2</w:t>
            </w:r>
          </w:p>
        </w:tc>
        <w:tc>
          <w:tcPr>
            <w:tcW w:w="1590" w:type="dxa"/>
            <w:noWrap w:val="0"/>
            <w:vAlign w:val="center"/>
          </w:tcPr>
          <w:p>
            <w:pPr>
              <w:widowControl/>
              <w:jc w:val="center"/>
              <w:rPr>
                <w:rFonts w:hint="eastAsia" w:ascii="宋体" w:cs="宋体"/>
                <w:color w:val="0000FF"/>
                <w:kern w:val="0"/>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18</w:t>
            </w:r>
          </w:p>
        </w:tc>
        <w:tc>
          <w:tcPr>
            <w:tcW w:w="1273"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喷乳胶漆工程</w:t>
            </w:r>
          </w:p>
        </w:tc>
        <w:tc>
          <w:tcPr>
            <w:tcW w:w="5413" w:type="dxa"/>
            <w:noWrap w:val="0"/>
            <w:vAlign w:val="center"/>
          </w:tcPr>
          <w:p>
            <w:pPr>
              <w:widowControl/>
              <w:jc w:val="left"/>
              <w:rPr>
                <w:rFonts w:hint="eastAsia" w:ascii="宋体" w:cs="宋体"/>
                <w:color w:val="0000FF"/>
                <w:kern w:val="0"/>
                <w:sz w:val="24"/>
                <w:szCs w:val="24"/>
                <w:lang w:bidi="ar-SA"/>
              </w:rPr>
            </w:pPr>
            <w:r>
              <w:rPr>
                <w:rFonts w:hint="eastAsia" w:ascii="宋体" w:hAnsi="宋体"/>
                <w:color w:val="000000"/>
                <w:sz w:val="24"/>
                <w:szCs w:val="24"/>
              </w:rPr>
              <w:t>遮蔽+底漆1遍+面漆2遍+；滚涂和喷涂工艺&lt;按展开面积算&gt;</w:t>
            </w:r>
          </w:p>
        </w:tc>
        <w:tc>
          <w:tcPr>
            <w:tcW w:w="640"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 xml:space="preserve">230.00 </w:t>
            </w:r>
          </w:p>
        </w:tc>
        <w:tc>
          <w:tcPr>
            <w:tcW w:w="656"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m</w:t>
            </w:r>
            <w:r>
              <w:rPr>
                <w:rFonts w:ascii="宋体" w:hAnsi="宋体"/>
                <w:color w:val="000000"/>
                <w:sz w:val="24"/>
                <w:szCs w:val="24"/>
                <w:vertAlign w:val="superscript"/>
              </w:rPr>
              <w:t>2</w:t>
            </w:r>
          </w:p>
        </w:tc>
        <w:tc>
          <w:tcPr>
            <w:tcW w:w="1590" w:type="dxa"/>
            <w:noWrap w:val="0"/>
            <w:vAlign w:val="center"/>
          </w:tcPr>
          <w:p>
            <w:pPr>
              <w:widowControl/>
              <w:jc w:val="center"/>
              <w:rPr>
                <w:rFonts w:hint="eastAsia" w:ascii="宋体" w:cs="宋体"/>
                <w:color w:val="0000FF"/>
                <w:kern w:val="0"/>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19</w:t>
            </w:r>
          </w:p>
        </w:tc>
        <w:tc>
          <w:tcPr>
            <w:tcW w:w="1273"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不锈钢角线包边</w:t>
            </w:r>
          </w:p>
        </w:tc>
        <w:tc>
          <w:tcPr>
            <w:tcW w:w="5413" w:type="dxa"/>
            <w:noWrap w:val="0"/>
            <w:vAlign w:val="center"/>
          </w:tcPr>
          <w:p>
            <w:pPr>
              <w:widowControl/>
              <w:jc w:val="left"/>
              <w:rPr>
                <w:rFonts w:hint="eastAsia" w:ascii="宋体" w:cs="宋体"/>
                <w:color w:val="0000FF"/>
                <w:kern w:val="0"/>
                <w:sz w:val="24"/>
                <w:szCs w:val="24"/>
                <w:lang w:bidi="ar-SA"/>
              </w:rPr>
            </w:pPr>
            <w:r>
              <w:rPr>
                <w:rFonts w:hint="eastAsia" w:ascii="宋体" w:hAnsi="宋体"/>
                <w:color w:val="000000"/>
                <w:sz w:val="24"/>
                <w:szCs w:val="24"/>
              </w:rPr>
              <w:t>辅料</w:t>
            </w:r>
          </w:p>
        </w:tc>
        <w:tc>
          <w:tcPr>
            <w:tcW w:w="640"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 xml:space="preserve">55.00 </w:t>
            </w:r>
          </w:p>
        </w:tc>
        <w:tc>
          <w:tcPr>
            <w:tcW w:w="656"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m</w:t>
            </w:r>
          </w:p>
        </w:tc>
        <w:tc>
          <w:tcPr>
            <w:tcW w:w="1590" w:type="dxa"/>
            <w:noWrap w:val="0"/>
            <w:vAlign w:val="center"/>
          </w:tcPr>
          <w:p>
            <w:pPr>
              <w:widowControl/>
              <w:jc w:val="center"/>
              <w:rPr>
                <w:rFonts w:hint="eastAsia" w:ascii="宋体" w:cs="宋体"/>
                <w:color w:val="0000FF"/>
                <w:kern w:val="0"/>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20</w:t>
            </w:r>
          </w:p>
        </w:tc>
        <w:tc>
          <w:tcPr>
            <w:tcW w:w="1273"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消防应急灯</w:t>
            </w:r>
          </w:p>
        </w:tc>
        <w:tc>
          <w:tcPr>
            <w:tcW w:w="5413" w:type="dxa"/>
            <w:noWrap w:val="0"/>
            <w:vAlign w:val="center"/>
          </w:tcPr>
          <w:p>
            <w:pPr>
              <w:widowControl/>
              <w:jc w:val="left"/>
              <w:rPr>
                <w:rFonts w:hint="eastAsia" w:ascii="宋体" w:cs="宋体"/>
                <w:color w:val="0000FF"/>
                <w:kern w:val="0"/>
                <w:sz w:val="24"/>
                <w:szCs w:val="24"/>
                <w:lang w:bidi="ar-SA"/>
              </w:rPr>
            </w:pPr>
            <w:r>
              <w:rPr>
                <w:rFonts w:hint="eastAsia" w:ascii="宋体" w:hAnsi="宋体"/>
                <w:color w:val="000000"/>
                <w:sz w:val="24"/>
                <w:szCs w:val="24"/>
              </w:rPr>
              <w:t>消防应急灯</w:t>
            </w:r>
          </w:p>
        </w:tc>
        <w:tc>
          <w:tcPr>
            <w:tcW w:w="640"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 xml:space="preserve">2.00 </w:t>
            </w:r>
          </w:p>
        </w:tc>
        <w:tc>
          <w:tcPr>
            <w:tcW w:w="656"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个</w:t>
            </w:r>
          </w:p>
        </w:tc>
        <w:tc>
          <w:tcPr>
            <w:tcW w:w="1590" w:type="dxa"/>
            <w:noWrap w:val="0"/>
            <w:vAlign w:val="center"/>
          </w:tcPr>
          <w:p>
            <w:pPr>
              <w:widowControl/>
              <w:jc w:val="center"/>
              <w:rPr>
                <w:rFonts w:hint="eastAsia" w:ascii="宋体" w:cs="宋体"/>
                <w:color w:val="0000FF"/>
                <w:kern w:val="0"/>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21</w:t>
            </w:r>
          </w:p>
        </w:tc>
        <w:tc>
          <w:tcPr>
            <w:tcW w:w="1273"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疏散指示灯</w:t>
            </w:r>
          </w:p>
        </w:tc>
        <w:tc>
          <w:tcPr>
            <w:tcW w:w="5413" w:type="dxa"/>
            <w:noWrap w:val="0"/>
            <w:vAlign w:val="center"/>
          </w:tcPr>
          <w:p>
            <w:pPr>
              <w:widowControl/>
              <w:jc w:val="left"/>
              <w:rPr>
                <w:rFonts w:hint="eastAsia" w:ascii="宋体" w:cs="宋体"/>
                <w:color w:val="0000FF"/>
                <w:kern w:val="0"/>
                <w:sz w:val="24"/>
                <w:szCs w:val="24"/>
                <w:lang w:bidi="ar-SA"/>
              </w:rPr>
            </w:pPr>
            <w:r>
              <w:rPr>
                <w:rFonts w:hint="eastAsia" w:ascii="宋体" w:hAnsi="宋体"/>
                <w:color w:val="000000"/>
                <w:sz w:val="24"/>
                <w:szCs w:val="24"/>
              </w:rPr>
              <w:t>疏散指示灯</w:t>
            </w:r>
          </w:p>
        </w:tc>
        <w:tc>
          <w:tcPr>
            <w:tcW w:w="640"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 xml:space="preserve">2.00 </w:t>
            </w:r>
          </w:p>
        </w:tc>
        <w:tc>
          <w:tcPr>
            <w:tcW w:w="656"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个</w:t>
            </w:r>
          </w:p>
        </w:tc>
        <w:tc>
          <w:tcPr>
            <w:tcW w:w="1590" w:type="dxa"/>
            <w:noWrap w:val="0"/>
            <w:vAlign w:val="center"/>
          </w:tcPr>
          <w:p>
            <w:pPr>
              <w:widowControl/>
              <w:jc w:val="center"/>
              <w:rPr>
                <w:rFonts w:hint="eastAsia" w:ascii="宋体" w:cs="宋体"/>
                <w:color w:val="0000FF"/>
                <w:kern w:val="0"/>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22</w:t>
            </w:r>
          </w:p>
        </w:tc>
        <w:tc>
          <w:tcPr>
            <w:tcW w:w="1273"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前言文化墙背景</w:t>
            </w:r>
          </w:p>
        </w:tc>
        <w:tc>
          <w:tcPr>
            <w:tcW w:w="5413" w:type="dxa"/>
            <w:noWrap w:val="0"/>
            <w:vAlign w:val="center"/>
          </w:tcPr>
          <w:p>
            <w:pPr>
              <w:widowControl/>
              <w:jc w:val="left"/>
              <w:rPr>
                <w:rFonts w:hint="eastAsia" w:ascii="宋体" w:cs="宋体"/>
                <w:color w:val="0000FF"/>
                <w:kern w:val="0"/>
                <w:sz w:val="24"/>
                <w:szCs w:val="24"/>
                <w:lang w:bidi="ar-SA"/>
              </w:rPr>
            </w:pPr>
            <w:r>
              <w:rPr>
                <w:rFonts w:hint="eastAsia" w:ascii="宋体" w:hAnsi="宋体"/>
                <w:color w:val="000000"/>
                <w:sz w:val="24"/>
                <w:szCs w:val="24"/>
              </w:rPr>
              <w:t>采用木条焊接封木工板和密度板面饰乳胶+古堡灰大理石板+铁膨胀螺丝+高强度自攻螺丝+防火涂料+防锈漆&lt;含机具耗费&gt;</w:t>
            </w:r>
          </w:p>
        </w:tc>
        <w:tc>
          <w:tcPr>
            <w:tcW w:w="640"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 xml:space="preserve">17.00 </w:t>
            </w:r>
          </w:p>
        </w:tc>
        <w:tc>
          <w:tcPr>
            <w:tcW w:w="656"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m</w:t>
            </w:r>
            <w:r>
              <w:rPr>
                <w:rFonts w:ascii="宋体" w:hAnsi="宋体"/>
                <w:color w:val="000000"/>
                <w:sz w:val="24"/>
                <w:szCs w:val="24"/>
                <w:vertAlign w:val="superscript"/>
              </w:rPr>
              <w:t>2</w:t>
            </w:r>
          </w:p>
        </w:tc>
        <w:tc>
          <w:tcPr>
            <w:tcW w:w="1590" w:type="dxa"/>
            <w:noWrap w:val="0"/>
            <w:vAlign w:val="center"/>
          </w:tcPr>
          <w:p>
            <w:pPr>
              <w:widowControl/>
              <w:jc w:val="center"/>
              <w:rPr>
                <w:rFonts w:hint="eastAsia" w:ascii="宋体" w:cs="宋体"/>
                <w:color w:val="0000FF"/>
                <w:kern w:val="0"/>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23</w:t>
            </w:r>
          </w:p>
        </w:tc>
        <w:tc>
          <w:tcPr>
            <w:tcW w:w="1273"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结束语文化墙背景</w:t>
            </w:r>
          </w:p>
        </w:tc>
        <w:tc>
          <w:tcPr>
            <w:tcW w:w="5413" w:type="dxa"/>
            <w:noWrap w:val="0"/>
            <w:vAlign w:val="center"/>
          </w:tcPr>
          <w:p>
            <w:pPr>
              <w:widowControl/>
              <w:jc w:val="left"/>
              <w:rPr>
                <w:rFonts w:hint="eastAsia" w:ascii="宋体" w:cs="宋体"/>
                <w:color w:val="0000FF"/>
                <w:kern w:val="0"/>
                <w:sz w:val="24"/>
                <w:szCs w:val="24"/>
                <w:lang w:bidi="ar-SA"/>
              </w:rPr>
            </w:pPr>
            <w:r>
              <w:rPr>
                <w:rFonts w:hint="eastAsia" w:ascii="宋体" w:hAnsi="宋体"/>
                <w:color w:val="000000"/>
                <w:sz w:val="24"/>
                <w:szCs w:val="24"/>
              </w:rPr>
              <w:t>采用木条焊接封木工板和纸面石膏板+铁膨胀螺丝+高强度自攻螺丝+防火涂料+防锈漆 &lt;含机具耗费&gt;</w:t>
            </w:r>
          </w:p>
        </w:tc>
        <w:tc>
          <w:tcPr>
            <w:tcW w:w="640"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 xml:space="preserve">4.40 </w:t>
            </w:r>
          </w:p>
        </w:tc>
        <w:tc>
          <w:tcPr>
            <w:tcW w:w="656"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m</w:t>
            </w:r>
            <w:r>
              <w:rPr>
                <w:rFonts w:ascii="宋体" w:hAnsi="宋体"/>
                <w:color w:val="000000"/>
                <w:sz w:val="24"/>
                <w:szCs w:val="24"/>
                <w:vertAlign w:val="superscript"/>
              </w:rPr>
              <w:t>2</w:t>
            </w:r>
          </w:p>
        </w:tc>
        <w:tc>
          <w:tcPr>
            <w:tcW w:w="1590" w:type="dxa"/>
            <w:noWrap w:val="0"/>
            <w:vAlign w:val="center"/>
          </w:tcPr>
          <w:p>
            <w:pPr>
              <w:widowControl/>
              <w:jc w:val="center"/>
              <w:rPr>
                <w:rFonts w:hint="eastAsia" w:ascii="宋体" w:cs="宋体"/>
                <w:color w:val="0000FF"/>
                <w:kern w:val="0"/>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24</w:t>
            </w:r>
          </w:p>
        </w:tc>
        <w:tc>
          <w:tcPr>
            <w:tcW w:w="1273"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延伸隔墙</w:t>
            </w:r>
          </w:p>
        </w:tc>
        <w:tc>
          <w:tcPr>
            <w:tcW w:w="5413" w:type="dxa"/>
            <w:noWrap w:val="0"/>
            <w:vAlign w:val="center"/>
          </w:tcPr>
          <w:p>
            <w:pPr>
              <w:widowControl/>
              <w:jc w:val="left"/>
              <w:rPr>
                <w:rFonts w:hint="eastAsia" w:ascii="宋体" w:cs="宋体"/>
                <w:color w:val="0000FF"/>
                <w:kern w:val="0"/>
                <w:sz w:val="24"/>
                <w:szCs w:val="24"/>
                <w:lang w:bidi="ar-SA"/>
              </w:rPr>
            </w:pPr>
            <w:r>
              <w:rPr>
                <w:rFonts w:hint="eastAsia" w:ascii="宋体" w:hAnsi="宋体"/>
                <w:color w:val="000000"/>
                <w:sz w:val="24"/>
                <w:szCs w:val="24"/>
              </w:rPr>
              <w:t>加气砖、325水泥、中沙</w:t>
            </w:r>
          </w:p>
        </w:tc>
        <w:tc>
          <w:tcPr>
            <w:tcW w:w="640"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 xml:space="preserve">5.00 </w:t>
            </w:r>
          </w:p>
        </w:tc>
        <w:tc>
          <w:tcPr>
            <w:tcW w:w="656"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m</w:t>
            </w:r>
            <w:r>
              <w:rPr>
                <w:rFonts w:ascii="宋体" w:hAnsi="宋体"/>
                <w:color w:val="000000"/>
                <w:sz w:val="24"/>
                <w:szCs w:val="24"/>
                <w:vertAlign w:val="superscript"/>
              </w:rPr>
              <w:t>2</w:t>
            </w:r>
          </w:p>
        </w:tc>
        <w:tc>
          <w:tcPr>
            <w:tcW w:w="1590" w:type="dxa"/>
            <w:noWrap w:val="0"/>
            <w:vAlign w:val="center"/>
          </w:tcPr>
          <w:p>
            <w:pPr>
              <w:widowControl/>
              <w:jc w:val="center"/>
              <w:rPr>
                <w:rFonts w:hint="eastAsia" w:ascii="宋体" w:cs="宋体"/>
                <w:color w:val="0000FF"/>
                <w:kern w:val="0"/>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25</w:t>
            </w:r>
          </w:p>
        </w:tc>
        <w:tc>
          <w:tcPr>
            <w:tcW w:w="1273"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办公室套装门</w:t>
            </w:r>
          </w:p>
        </w:tc>
        <w:tc>
          <w:tcPr>
            <w:tcW w:w="5413" w:type="dxa"/>
            <w:noWrap w:val="0"/>
            <w:vAlign w:val="center"/>
          </w:tcPr>
          <w:p>
            <w:pPr>
              <w:widowControl/>
              <w:jc w:val="left"/>
              <w:rPr>
                <w:rFonts w:hint="eastAsia" w:ascii="宋体" w:cs="宋体"/>
                <w:color w:val="0000FF"/>
                <w:kern w:val="0"/>
                <w:sz w:val="24"/>
                <w:szCs w:val="24"/>
                <w:lang w:bidi="ar-SA"/>
              </w:rPr>
            </w:pPr>
            <w:r>
              <w:rPr>
                <w:rFonts w:hint="eastAsia" w:ascii="宋体" w:hAnsi="宋体"/>
                <w:color w:val="000000"/>
                <w:sz w:val="24"/>
                <w:szCs w:val="24"/>
              </w:rPr>
              <w:t>定制套装门+门套+锁具</w:t>
            </w:r>
          </w:p>
        </w:tc>
        <w:tc>
          <w:tcPr>
            <w:tcW w:w="640"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 xml:space="preserve">1.00 </w:t>
            </w:r>
          </w:p>
        </w:tc>
        <w:tc>
          <w:tcPr>
            <w:tcW w:w="656"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樘</w:t>
            </w:r>
          </w:p>
        </w:tc>
        <w:tc>
          <w:tcPr>
            <w:tcW w:w="1590" w:type="dxa"/>
            <w:noWrap w:val="0"/>
            <w:vAlign w:val="center"/>
          </w:tcPr>
          <w:p>
            <w:pPr>
              <w:widowControl/>
              <w:jc w:val="center"/>
              <w:rPr>
                <w:rFonts w:hint="eastAsia" w:ascii="宋体" w:cs="宋体"/>
                <w:color w:val="0000FF"/>
                <w:kern w:val="0"/>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26</w:t>
            </w:r>
          </w:p>
        </w:tc>
        <w:tc>
          <w:tcPr>
            <w:tcW w:w="1273"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首长关怀背景墙</w:t>
            </w:r>
          </w:p>
        </w:tc>
        <w:tc>
          <w:tcPr>
            <w:tcW w:w="5413" w:type="dxa"/>
            <w:noWrap w:val="0"/>
            <w:vAlign w:val="center"/>
          </w:tcPr>
          <w:p>
            <w:pPr>
              <w:widowControl/>
              <w:jc w:val="left"/>
              <w:rPr>
                <w:rFonts w:hint="eastAsia" w:ascii="宋体" w:cs="宋体"/>
                <w:color w:val="0000FF"/>
                <w:kern w:val="0"/>
                <w:sz w:val="24"/>
                <w:szCs w:val="24"/>
                <w:lang w:bidi="ar-SA"/>
              </w:rPr>
            </w:pPr>
            <w:r>
              <w:rPr>
                <w:rFonts w:hint="eastAsia" w:ascii="宋体" w:hAnsi="宋体"/>
                <w:color w:val="000000"/>
                <w:sz w:val="24"/>
                <w:szCs w:val="24"/>
              </w:rPr>
              <w:t>采用木条焊接封木工板和纸面石膏板+铁膨胀螺丝+高强度自攻螺丝+防火涂料+防锈漆 &lt;含机具耗费&gt;</w:t>
            </w:r>
          </w:p>
        </w:tc>
        <w:tc>
          <w:tcPr>
            <w:tcW w:w="640"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 xml:space="preserve">5.00 </w:t>
            </w:r>
          </w:p>
        </w:tc>
        <w:tc>
          <w:tcPr>
            <w:tcW w:w="656"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m</w:t>
            </w:r>
            <w:r>
              <w:rPr>
                <w:rFonts w:ascii="宋体" w:hAnsi="宋体"/>
                <w:color w:val="000000"/>
                <w:sz w:val="24"/>
                <w:szCs w:val="24"/>
                <w:vertAlign w:val="superscript"/>
              </w:rPr>
              <w:t>2</w:t>
            </w:r>
          </w:p>
        </w:tc>
        <w:tc>
          <w:tcPr>
            <w:tcW w:w="1590" w:type="dxa"/>
            <w:noWrap w:val="0"/>
            <w:vAlign w:val="center"/>
          </w:tcPr>
          <w:p>
            <w:pPr>
              <w:widowControl/>
              <w:jc w:val="center"/>
              <w:rPr>
                <w:rFonts w:hint="eastAsia" w:ascii="宋体" w:cs="宋体"/>
                <w:color w:val="0000FF"/>
                <w:kern w:val="0"/>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27</w:t>
            </w:r>
          </w:p>
        </w:tc>
        <w:tc>
          <w:tcPr>
            <w:tcW w:w="1273"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陈列柜1背景墙</w:t>
            </w:r>
          </w:p>
        </w:tc>
        <w:tc>
          <w:tcPr>
            <w:tcW w:w="5413" w:type="dxa"/>
            <w:noWrap w:val="0"/>
            <w:vAlign w:val="center"/>
          </w:tcPr>
          <w:p>
            <w:pPr>
              <w:widowControl/>
              <w:jc w:val="left"/>
              <w:rPr>
                <w:rFonts w:hint="eastAsia" w:ascii="宋体" w:cs="宋体"/>
                <w:color w:val="0000FF"/>
                <w:kern w:val="0"/>
                <w:sz w:val="24"/>
                <w:szCs w:val="24"/>
                <w:lang w:bidi="ar-SA"/>
              </w:rPr>
            </w:pPr>
            <w:r>
              <w:rPr>
                <w:rFonts w:hint="eastAsia" w:ascii="宋体" w:hAnsi="宋体"/>
                <w:color w:val="000000"/>
                <w:sz w:val="24"/>
                <w:szCs w:val="24"/>
              </w:rPr>
              <w:t>采用木条焊接封木工板和纸面石膏板+铁膨胀螺丝+高强度自攻螺丝+防火涂料+防锈漆 &lt;含机具耗费&gt;</w:t>
            </w:r>
          </w:p>
        </w:tc>
        <w:tc>
          <w:tcPr>
            <w:tcW w:w="640"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 xml:space="preserve">30.00 </w:t>
            </w:r>
          </w:p>
        </w:tc>
        <w:tc>
          <w:tcPr>
            <w:tcW w:w="656"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m</w:t>
            </w:r>
            <w:r>
              <w:rPr>
                <w:rFonts w:ascii="宋体" w:hAnsi="宋体"/>
                <w:color w:val="000000"/>
                <w:sz w:val="24"/>
                <w:szCs w:val="24"/>
                <w:vertAlign w:val="superscript"/>
              </w:rPr>
              <w:t>2</w:t>
            </w:r>
          </w:p>
        </w:tc>
        <w:tc>
          <w:tcPr>
            <w:tcW w:w="1590" w:type="dxa"/>
            <w:noWrap w:val="0"/>
            <w:vAlign w:val="center"/>
          </w:tcPr>
          <w:p>
            <w:pPr>
              <w:widowControl/>
              <w:jc w:val="center"/>
              <w:rPr>
                <w:rFonts w:hint="eastAsia" w:ascii="宋体" w:cs="宋体"/>
                <w:color w:val="0000FF"/>
                <w:kern w:val="0"/>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28</w:t>
            </w:r>
          </w:p>
        </w:tc>
        <w:tc>
          <w:tcPr>
            <w:tcW w:w="1273"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陈列柜2背景墙</w:t>
            </w:r>
          </w:p>
        </w:tc>
        <w:tc>
          <w:tcPr>
            <w:tcW w:w="5413" w:type="dxa"/>
            <w:noWrap w:val="0"/>
            <w:vAlign w:val="center"/>
          </w:tcPr>
          <w:p>
            <w:pPr>
              <w:widowControl/>
              <w:jc w:val="left"/>
              <w:rPr>
                <w:rFonts w:hint="eastAsia" w:ascii="宋体" w:cs="宋体"/>
                <w:color w:val="0000FF"/>
                <w:kern w:val="0"/>
                <w:sz w:val="24"/>
                <w:szCs w:val="24"/>
                <w:lang w:bidi="ar-SA"/>
              </w:rPr>
            </w:pPr>
            <w:r>
              <w:rPr>
                <w:rFonts w:hint="eastAsia" w:ascii="宋体" w:hAnsi="宋体"/>
                <w:color w:val="000000"/>
                <w:sz w:val="24"/>
                <w:szCs w:val="24"/>
              </w:rPr>
              <w:t>采用木条焊接封木工板和纸面石膏板+铁膨胀螺丝+高强度自攻螺丝+防火涂料+防锈漆 &lt;含机具耗费&gt;</w:t>
            </w:r>
          </w:p>
        </w:tc>
        <w:tc>
          <w:tcPr>
            <w:tcW w:w="640"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 xml:space="preserve">36.00 </w:t>
            </w:r>
          </w:p>
        </w:tc>
        <w:tc>
          <w:tcPr>
            <w:tcW w:w="656"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m</w:t>
            </w:r>
            <w:r>
              <w:rPr>
                <w:rFonts w:ascii="宋体" w:hAnsi="宋体"/>
                <w:color w:val="000000"/>
                <w:sz w:val="24"/>
                <w:szCs w:val="24"/>
                <w:vertAlign w:val="superscript"/>
              </w:rPr>
              <w:t>2</w:t>
            </w:r>
          </w:p>
        </w:tc>
        <w:tc>
          <w:tcPr>
            <w:tcW w:w="1590" w:type="dxa"/>
            <w:noWrap w:val="0"/>
            <w:vAlign w:val="center"/>
          </w:tcPr>
          <w:p>
            <w:pPr>
              <w:widowControl/>
              <w:jc w:val="center"/>
              <w:rPr>
                <w:rFonts w:hint="eastAsia" w:ascii="宋体" w:cs="宋体"/>
                <w:color w:val="0000FF"/>
                <w:kern w:val="0"/>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29</w:t>
            </w:r>
          </w:p>
        </w:tc>
        <w:tc>
          <w:tcPr>
            <w:tcW w:w="1273"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烈士英雄背景墙</w:t>
            </w:r>
          </w:p>
        </w:tc>
        <w:tc>
          <w:tcPr>
            <w:tcW w:w="5413" w:type="dxa"/>
            <w:noWrap w:val="0"/>
            <w:vAlign w:val="center"/>
          </w:tcPr>
          <w:p>
            <w:pPr>
              <w:widowControl/>
              <w:jc w:val="left"/>
              <w:rPr>
                <w:rFonts w:hint="eastAsia" w:ascii="宋体" w:cs="宋体"/>
                <w:color w:val="0000FF"/>
                <w:kern w:val="0"/>
                <w:sz w:val="24"/>
                <w:szCs w:val="24"/>
                <w:lang w:bidi="ar-SA"/>
              </w:rPr>
            </w:pPr>
            <w:r>
              <w:rPr>
                <w:rFonts w:hint="eastAsia" w:ascii="宋体" w:hAnsi="宋体"/>
                <w:color w:val="000000"/>
                <w:sz w:val="24"/>
                <w:szCs w:val="24"/>
              </w:rPr>
              <w:t>采用木条焊接封木工板和纸面石膏板+铁膨胀螺丝+高强度自攻螺丝+防火涂料+防锈漆 &lt;含机具耗费&gt;</w:t>
            </w:r>
          </w:p>
        </w:tc>
        <w:tc>
          <w:tcPr>
            <w:tcW w:w="640"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 xml:space="preserve">36.00 </w:t>
            </w:r>
          </w:p>
        </w:tc>
        <w:tc>
          <w:tcPr>
            <w:tcW w:w="656"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m</w:t>
            </w:r>
            <w:r>
              <w:rPr>
                <w:rFonts w:ascii="宋体" w:hAnsi="宋体"/>
                <w:color w:val="000000"/>
                <w:sz w:val="24"/>
                <w:szCs w:val="24"/>
                <w:vertAlign w:val="superscript"/>
              </w:rPr>
              <w:t>2</w:t>
            </w:r>
          </w:p>
        </w:tc>
        <w:tc>
          <w:tcPr>
            <w:tcW w:w="1590" w:type="dxa"/>
            <w:noWrap w:val="0"/>
            <w:vAlign w:val="center"/>
          </w:tcPr>
          <w:p>
            <w:pPr>
              <w:widowControl/>
              <w:jc w:val="center"/>
              <w:rPr>
                <w:rFonts w:hint="eastAsia" w:ascii="宋体" w:cs="宋体"/>
                <w:color w:val="0000FF"/>
                <w:kern w:val="0"/>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30</w:t>
            </w:r>
          </w:p>
        </w:tc>
        <w:tc>
          <w:tcPr>
            <w:tcW w:w="1273"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退役军人背景墙</w:t>
            </w:r>
          </w:p>
        </w:tc>
        <w:tc>
          <w:tcPr>
            <w:tcW w:w="5413" w:type="dxa"/>
            <w:noWrap w:val="0"/>
            <w:vAlign w:val="center"/>
          </w:tcPr>
          <w:p>
            <w:pPr>
              <w:widowControl/>
              <w:jc w:val="left"/>
              <w:rPr>
                <w:rFonts w:hint="eastAsia" w:ascii="宋体" w:cs="宋体"/>
                <w:color w:val="0000FF"/>
                <w:kern w:val="0"/>
                <w:sz w:val="24"/>
                <w:szCs w:val="24"/>
                <w:lang w:bidi="ar-SA"/>
              </w:rPr>
            </w:pPr>
            <w:r>
              <w:rPr>
                <w:rFonts w:hint="eastAsia" w:ascii="宋体" w:hAnsi="宋体"/>
                <w:color w:val="000000"/>
                <w:sz w:val="24"/>
                <w:szCs w:val="24"/>
              </w:rPr>
              <w:t>采用木条焊接封木工板和纸面石膏板+铁膨胀螺丝+高强度自攻螺丝+防火涂料+防锈漆&lt;含机具耗费&gt;</w:t>
            </w:r>
          </w:p>
        </w:tc>
        <w:tc>
          <w:tcPr>
            <w:tcW w:w="640"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 xml:space="preserve">14.00 </w:t>
            </w:r>
          </w:p>
        </w:tc>
        <w:tc>
          <w:tcPr>
            <w:tcW w:w="656"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m</w:t>
            </w:r>
            <w:r>
              <w:rPr>
                <w:rFonts w:ascii="宋体" w:hAnsi="宋体"/>
                <w:color w:val="000000"/>
                <w:sz w:val="24"/>
                <w:szCs w:val="24"/>
                <w:vertAlign w:val="superscript"/>
              </w:rPr>
              <w:t>2</w:t>
            </w:r>
          </w:p>
        </w:tc>
        <w:tc>
          <w:tcPr>
            <w:tcW w:w="1590" w:type="dxa"/>
            <w:noWrap w:val="0"/>
            <w:vAlign w:val="center"/>
          </w:tcPr>
          <w:p>
            <w:pPr>
              <w:widowControl/>
              <w:jc w:val="center"/>
              <w:rPr>
                <w:rFonts w:hint="eastAsia" w:ascii="宋体" w:cs="宋体"/>
                <w:color w:val="0000FF"/>
                <w:kern w:val="0"/>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31</w:t>
            </w:r>
          </w:p>
        </w:tc>
        <w:tc>
          <w:tcPr>
            <w:tcW w:w="1273"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展望未来背景墙</w:t>
            </w:r>
          </w:p>
        </w:tc>
        <w:tc>
          <w:tcPr>
            <w:tcW w:w="5413" w:type="dxa"/>
            <w:noWrap w:val="0"/>
            <w:vAlign w:val="center"/>
          </w:tcPr>
          <w:p>
            <w:pPr>
              <w:widowControl/>
              <w:jc w:val="left"/>
              <w:rPr>
                <w:rFonts w:hint="eastAsia" w:ascii="宋体" w:cs="宋体"/>
                <w:color w:val="0000FF"/>
                <w:kern w:val="0"/>
                <w:sz w:val="24"/>
                <w:szCs w:val="24"/>
                <w:lang w:bidi="ar-SA"/>
              </w:rPr>
            </w:pPr>
            <w:r>
              <w:rPr>
                <w:rFonts w:hint="eastAsia" w:ascii="宋体" w:hAnsi="宋体"/>
                <w:color w:val="000000"/>
                <w:sz w:val="24"/>
                <w:szCs w:val="24"/>
              </w:rPr>
              <w:t>采用木条焊接封木工板和纸面石膏板+铁膨胀螺丝+高强度自攻螺丝+防火涂料+防锈漆&lt;含机具耗费&gt;</w:t>
            </w:r>
          </w:p>
        </w:tc>
        <w:tc>
          <w:tcPr>
            <w:tcW w:w="640"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 xml:space="preserve">13.80 </w:t>
            </w:r>
          </w:p>
        </w:tc>
        <w:tc>
          <w:tcPr>
            <w:tcW w:w="656"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m</w:t>
            </w:r>
            <w:r>
              <w:rPr>
                <w:rFonts w:ascii="宋体" w:hAnsi="宋体"/>
                <w:color w:val="000000"/>
                <w:sz w:val="24"/>
                <w:szCs w:val="24"/>
                <w:vertAlign w:val="superscript"/>
              </w:rPr>
              <w:t>2</w:t>
            </w:r>
          </w:p>
        </w:tc>
        <w:tc>
          <w:tcPr>
            <w:tcW w:w="1590" w:type="dxa"/>
            <w:noWrap w:val="0"/>
            <w:vAlign w:val="center"/>
          </w:tcPr>
          <w:p>
            <w:pPr>
              <w:widowControl/>
              <w:jc w:val="center"/>
              <w:rPr>
                <w:rFonts w:hint="eastAsia" w:ascii="宋体" w:cs="宋体"/>
                <w:color w:val="0000FF"/>
                <w:kern w:val="0"/>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32</w:t>
            </w:r>
          </w:p>
        </w:tc>
        <w:tc>
          <w:tcPr>
            <w:tcW w:w="1273"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国史背景墙</w:t>
            </w:r>
          </w:p>
        </w:tc>
        <w:tc>
          <w:tcPr>
            <w:tcW w:w="5413" w:type="dxa"/>
            <w:noWrap w:val="0"/>
            <w:vAlign w:val="center"/>
          </w:tcPr>
          <w:p>
            <w:pPr>
              <w:widowControl/>
              <w:jc w:val="left"/>
              <w:rPr>
                <w:rFonts w:hint="eastAsia" w:ascii="宋体" w:cs="宋体"/>
                <w:color w:val="0000FF"/>
                <w:kern w:val="0"/>
                <w:sz w:val="24"/>
                <w:szCs w:val="24"/>
                <w:lang w:bidi="ar-SA"/>
              </w:rPr>
            </w:pPr>
            <w:r>
              <w:rPr>
                <w:rFonts w:hint="eastAsia" w:ascii="宋体" w:hAnsi="宋体"/>
                <w:color w:val="000000"/>
                <w:sz w:val="24"/>
                <w:szCs w:val="24"/>
              </w:rPr>
              <w:t>采用木条焊接封木工板和纸面石膏板+铁膨胀螺丝+高强度自攻螺丝+防火涂料+防锈漆 &lt;含机具耗费&gt;</w:t>
            </w:r>
          </w:p>
        </w:tc>
        <w:tc>
          <w:tcPr>
            <w:tcW w:w="640"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 xml:space="preserve">12.00 </w:t>
            </w:r>
          </w:p>
        </w:tc>
        <w:tc>
          <w:tcPr>
            <w:tcW w:w="656"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m</w:t>
            </w:r>
            <w:r>
              <w:rPr>
                <w:rFonts w:ascii="宋体" w:hAnsi="宋体"/>
                <w:color w:val="000000"/>
                <w:sz w:val="24"/>
                <w:szCs w:val="24"/>
                <w:vertAlign w:val="superscript"/>
              </w:rPr>
              <w:t>2</w:t>
            </w:r>
          </w:p>
        </w:tc>
        <w:tc>
          <w:tcPr>
            <w:tcW w:w="1590" w:type="dxa"/>
            <w:noWrap w:val="0"/>
            <w:vAlign w:val="center"/>
          </w:tcPr>
          <w:p>
            <w:pPr>
              <w:widowControl/>
              <w:jc w:val="center"/>
              <w:rPr>
                <w:rFonts w:hint="eastAsia" w:ascii="宋体" w:cs="宋体"/>
                <w:color w:val="0000FF"/>
                <w:kern w:val="0"/>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33</w:t>
            </w:r>
          </w:p>
        </w:tc>
        <w:tc>
          <w:tcPr>
            <w:tcW w:w="1273"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军史背景墙</w:t>
            </w:r>
          </w:p>
        </w:tc>
        <w:tc>
          <w:tcPr>
            <w:tcW w:w="5413" w:type="dxa"/>
            <w:noWrap w:val="0"/>
            <w:vAlign w:val="center"/>
          </w:tcPr>
          <w:p>
            <w:pPr>
              <w:widowControl/>
              <w:jc w:val="left"/>
              <w:rPr>
                <w:rFonts w:hint="eastAsia" w:ascii="宋体" w:cs="宋体"/>
                <w:color w:val="0000FF"/>
                <w:kern w:val="0"/>
                <w:sz w:val="24"/>
                <w:szCs w:val="24"/>
                <w:lang w:bidi="ar-SA"/>
              </w:rPr>
            </w:pPr>
            <w:r>
              <w:rPr>
                <w:rFonts w:hint="eastAsia" w:ascii="宋体" w:hAnsi="宋体"/>
                <w:color w:val="000000"/>
                <w:sz w:val="24"/>
                <w:szCs w:val="24"/>
              </w:rPr>
              <w:t>采用木条焊接封木工板和纸面石膏板+铁膨胀螺丝+高强度自攻螺丝+防火涂料+防锈漆 &lt;含机具耗费&gt;</w:t>
            </w:r>
          </w:p>
        </w:tc>
        <w:tc>
          <w:tcPr>
            <w:tcW w:w="640"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 xml:space="preserve">18.00 </w:t>
            </w:r>
          </w:p>
        </w:tc>
        <w:tc>
          <w:tcPr>
            <w:tcW w:w="656"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m</w:t>
            </w:r>
            <w:r>
              <w:rPr>
                <w:rFonts w:ascii="宋体" w:hAnsi="宋体"/>
                <w:color w:val="000000"/>
                <w:sz w:val="24"/>
                <w:szCs w:val="24"/>
                <w:vertAlign w:val="superscript"/>
              </w:rPr>
              <w:t>2</w:t>
            </w:r>
          </w:p>
        </w:tc>
        <w:tc>
          <w:tcPr>
            <w:tcW w:w="1590" w:type="dxa"/>
            <w:noWrap w:val="0"/>
            <w:vAlign w:val="center"/>
          </w:tcPr>
          <w:p>
            <w:pPr>
              <w:widowControl/>
              <w:jc w:val="center"/>
              <w:rPr>
                <w:rFonts w:hint="eastAsia" w:ascii="宋体" w:cs="宋体"/>
                <w:color w:val="0000FF"/>
                <w:kern w:val="0"/>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34</w:t>
            </w:r>
          </w:p>
        </w:tc>
        <w:tc>
          <w:tcPr>
            <w:tcW w:w="1273"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党史背景墙</w:t>
            </w:r>
          </w:p>
        </w:tc>
        <w:tc>
          <w:tcPr>
            <w:tcW w:w="5413" w:type="dxa"/>
            <w:noWrap w:val="0"/>
            <w:vAlign w:val="center"/>
          </w:tcPr>
          <w:p>
            <w:pPr>
              <w:widowControl/>
              <w:jc w:val="left"/>
              <w:rPr>
                <w:rFonts w:hint="eastAsia" w:ascii="宋体" w:cs="宋体"/>
                <w:color w:val="0000FF"/>
                <w:kern w:val="0"/>
                <w:sz w:val="24"/>
                <w:szCs w:val="24"/>
                <w:lang w:bidi="ar-SA"/>
              </w:rPr>
            </w:pPr>
            <w:r>
              <w:rPr>
                <w:rFonts w:hint="eastAsia" w:ascii="宋体" w:hAnsi="宋体"/>
                <w:color w:val="000000"/>
                <w:sz w:val="24"/>
                <w:szCs w:val="24"/>
              </w:rPr>
              <w:t>采用木条焊接封木工板和纸面石膏板+铁膨胀螺丝+高强度自攻螺丝+防火涂料+防锈漆 &lt;含机具耗费&gt;</w:t>
            </w:r>
          </w:p>
        </w:tc>
        <w:tc>
          <w:tcPr>
            <w:tcW w:w="640"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 xml:space="preserve">18.00 </w:t>
            </w:r>
          </w:p>
        </w:tc>
        <w:tc>
          <w:tcPr>
            <w:tcW w:w="656"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m</w:t>
            </w:r>
            <w:r>
              <w:rPr>
                <w:rFonts w:ascii="宋体" w:hAnsi="宋体"/>
                <w:color w:val="000000"/>
                <w:sz w:val="24"/>
                <w:szCs w:val="24"/>
                <w:vertAlign w:val="superscript"/>
              </w:rPr>
              <w:t>2</w:t>
            </w:r>
          </w:p>
        </w:tc>
        <w:tc>
          <w:tcPr>
            <w:tcW w:w="1590" w:type="dxa"/>
            <w:noWrap w:val="0"/>
            <w:vAlign w:val="center"/>
          </w:tcPr>
          <w:p>
            <w:pPr>
              <w:widowControl/>
              <w:jc w:val="center"/>
              <w:rPr>
                <w:rFonts w:hint="eastAsia" w:ascii="宋体" w:cs="宋体"/>
                <w:color w:val="0000FF"/>
                <w:kern w:val="0"/>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35</w:t>
            </w:r>
          </w:p>
        </w:tc>
        <w:tc>
          <w:tcPr>
            <w:tcW w:w="1273"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陈列柜</w:t>
            </w:r>
          </w:p>
        </w:tc>
        <w:tc>
          <w:tcPr>
            <w:tcW w:w="5413" w:type="dxa"/>
            <w:noWrap w:val="0"/>
            <w:vAlign w:val="center"/>
          </w:tcPr>
          <w:p>
            <w:pPr>
              <w:widowControl/>
              <w:jc w:val="left"/>
              <w:rPr>
                <w:rFonts w:hint="eastAsia" w:ascii="宋体" w:cs="宋体"/>
                <w:color w:val="0000FF"/>
                <w:kern w:val="0"/>
                <w:sz w:val="24"/>
                <w:szCs w:val="24"/>
                <w:lang w:bidi="ar-SA"/>
              </w:rPr>
            </w:pPr>
            <w:r>
              <w:rPr>
                <w:rFonts w:hint="eastAsia" w:ascii="宋体" w:hAnsi="宋体"/>
                <w:color w:val="000000"/>
                <w:sz w:val="24"/>
                <w:szCs w:val="24"/>
              </w:rPr>
              <w:t>材质：木质，颜色、尺寸按效果图定制</w:t>
            </w:r>
          </w:p>
        </w:tc>
        <w:tc>
          <w:tcPr>
            <w:tcW w:w="640"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 xml:space="preserve">6.00 </w:t>
            </w:r>
          </w:p>
        </w:tc>
        <w:tc>
          <w:tcPr>
            <w:tcW w:w="656" w:type="dxa"/>
            <w:noWrap w:val="0"/>
            <w:vAlign w:val="center"/>
          </w:tcPr>
          <w:p>
            <w:pPr>
              <w:widowControl/>
              <w:jc w:val="center"/>
              <w:rPr>
                <w:rFonts w:hint="eastAsia" w:ascii="宋体" w:cs="宋体"/>
                <w:color w:val="0000FF"/>
                <w:kern w:val="0"/>
                <w:sz w:val="24"/>
                <w:szCs w:val="24"/>
                <w:lang w:bidi="ar-SA"/>
              </w:rPr>
            </w:pPr>
            <w:r>
              <w:rPr>
                <w:rFonts w:hint="eastAsia" w:ascii="宋体" w:hAnsi="宋体"/>
                <w:color w:val="000000"/>
                <w:sz w:val="24"/>
                <w:szCs w:val="24"/>
              </w:rPr>
              <w:t>个</w:t>
            </w:r>
          </w:p>
        </w:tc>
        <w:tc>
          <w:tcPr>
            <w:tcW w:w="1590" w:type="dxa"/>
            <w:noWrap w:val="0"/>
            <w:vAlign w:val="center"/>
          </w:tcPr>
          <w:p>
            <w:pPr>
              <w:widowControl/>
              <w:jc w:val="center"/>
              <w:rPr>
                <w:rFonts w:hint="eastAsia" w:ascii="宋体" w:cs="宋体"/>
                <w:color w:val="0000FF"/>
                <w:kern w:val="0"/>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36</w:t>
            </w:r>
          </w:p>
        </w:tc>
        <w:tc>
          <w:tcPr>
            <w:tcW w:w="1273" w:type="dxa"/>
            <w:vMerge w:val="restart"/>
            <w:noWrap w:val="0"/>
            <w:vAlign w:val="center"/>
          </w:tcPr>
          <w:p>
            <w:pPr>
              <w:widowControl/>
              <w:jc w:val="center"/>
              <w:rPr>
                <w:rFonts w:hint="eastAsia" w:ascii="宋体" w:cs="宋体"/>
                <w:color w:val="0000FF"/>
                <w:kern w:val="0"/>
                <w:sz w:val="24"/>
                <w:szCs w:val="24"/>
                <w:lang w:bidi="ar-SA"/>
              </w:rPr>
            </w:pPr>
            <w:r>
              <w:rPr>
                <w:rFonts w:hint="eastAsia" w:ascii="宋体" w:hAnsi="宋体"/>
                <w:color w:val="000000"/>
                <w:sz w:val="24"/>
                <w:szCs w:val="24"/>
              </w:rPr>
              <w:t>墙面展示</w:t>
            </w:r>
          </w:p>
        </w:tc>
        <w:tc>
          <w:tcPr>
            <w:tcW w:w="5413" w:type="dxa"/>
            <w:noWrap w:val="0"/>
            <w:vAlign w:val="center"/>
          </w:tcPr>
          <w:p>
            <w:pPr>
              <w:widowControl/>
              <w:jc w:val="left"/>
              <w:rPr>
                <w:rFonts w:hint="eastAsia" w:ascii="宋体" w:cs="宋体"/>
                <w:color w:val="0000FF"/>
                <w:kern w:val="0"/>
                <w:sz w:val="24"/>
                <w:szCs w:val="24"/>
                <w:lang w:bidi="ar-SA"/>
              </w:rPr>
            </w:pPr>
            <w:r>
              <w:rPr>
                <w:rFonts w:hint="eastAsia" w:ascii="宋体" w:hAnsi="宋体"/>
                <w:color w:val="000000"/>
                <w:sz w:val="24"/>
                <w:szCs w:val="24"/>
              </w:rPr>
              <w:t>8mm厚PVC+UV+3mm厚亚克力</w:t>
            </w:r>
          </w:p>
        </w:tc>
        <w:tc>
          <w:tcPr>
            <w:tcW w:w="640"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 xml:space="preserve">4260.00 </w:t>
            </w:r>
          </w:p>
        </w:tc>
        <w:tc>
          <w:tcPr>
            <w:tcW w:w="656"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cm</w:t>
            </w:r>
          </w:p>
        </w:tc>
        <w:tc>
          <w:tcPr>
            <w:tcW w:w="1590" w:type="dxa"/>
            <w:noWrap w:val="0"/>
            <w:vAlign w:val="center"/>
          </w:tcPr>
          <w:p>
            <w:pPr>
              <w:widowControl/>
              <w:jc w:val="center"/>
              <w:rPr>
                <w:rFonts w:hint="eastAsia" w:ascii="宋体" w:cs="宋体"/>
                <w:color w:val="0000FF"/>
                <w:kern w:val="0"/>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37</w:t>
            </w:r>
          </w:p>
        </w:tc>
        <w:tc>
          <w:tcPr>
            <w:tcW w:w="1273" w:type="dxa"/>
            <w:vMerge w:val="continue"/>
            <w:noWrap w:val="0"/>
            <w:vAlign w:val="center"/>
          </w:tcPr>
          <w:p>
            <w:pPr>
              <w:widowControl/>
              <w:jc w:val="center"/>
              <w:rPr>
                <w:color w:val="0000FF"/>
                <w:sz w:val="24"/>
                <w:szCs w:val="24"/>
              </w:rPr>
            </w:pPr>
          </w:p>
        </w:tc>
        <w:tc>
          <w:tcPr>
            <w:tcW w:w="5413" w:type="dxa"/>
            <w:noWrap w:val="0"/>
            <w:vAlign w:val="center"/>
          </w:tcPr>
          <w:p>
            <w:pPr>
              <w:widowControl/>
              <w:jc w:val="left"/>
              <w:rPr>
                <w:rFonts w:hint="eastAsia" w:ascii="宋体" w:cs="宋体"/>
                <w:color w:val="0000FF"/>
                <w:kern w:val="0"/>
                <w:sz w:val="24"/>
                <w:szCs w:val="24"/>
                <w:lang w:bidi="ar-SA"/>
              </w:rPr>
            </w:pPr>
            <w:r>
              <w:rPr>
                <w:rFonts w:hint="eastAsia" w:ascii="宋体" w:hAnsi="宋体"/>
                <w:color w:val="000000"/>
                <w:sz w:val="24"/>
                <w:szCs w:val="24"/>
              </w:rPr>
              <w:t>2cm水晶字+亚克力面板</w:t>
            </w:r>
          </w:p>
        </w:tc>
        <w:tc>
          <w:tcPr>
            <w:tcW w:w="640"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 xml:space="preserve">2218.00 </w:t>
            </w:r>
          </w:p>
        </w:tc>
        <w:tc>
          <w:tcPr>
            <w:tcW w:w="656"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cm</w:t>
            </w:r>
          </w:p>
        </w:tc>
        <w:tc>
          <w:tcPr>
            <w:tcW w:w="1590" w:type="dxa"/>
            <w:noWrap w:val="0"/>
            <w:vAlign w:val="center"/>
          </w:tcPr>
          <w:p>
            <w:pPr>
              <w:widowControl/>
              <w:jc w:val="center"/>
              <w:rPr>
                <w:rFonts w:hint="eastAsia" w:ascii="宋体" w:cs="宋体"/>
                <w:color w:val="0000FF"/>
                <w:kern w:val="0"/>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38</w:t>
            </w:r>
          </w:p>
        </w:tc>
        <w:tc>
          <w:tcPr>
            <w:tcW w:w="1273" w:type="dxa"/>
            <w:vMerge w:val="continue"/>
            <w:noWrap w:val="0"/>
            <w:vAlign w:val="center"/>
          </w:tcPr>
          <w:p>
            <w:pPr>
              <w:widowControl/>
              <w:jc w:val="center"/>
              <w:rPr>
                <w:color w:val="0000FF"/>
                <w:sz w:val="24"/>
                <w:szCs w:val="24"/>
              </w:rPr>
            </w:pPr>
          </w:p>
        </w:tc>
        <w:tc>
          <w:tcPr>
            <w:tcW w:w="5413" w:type="dxa"/>
            <w:noWrap w:val="0"/>
            <w:vAlign w:val="center"/>
          </w:tcPr>
          <w:p>
            <w:pPr>
              <w:widowControl/>
              <w:jc w:val="left"/>
              <w:rPr>
                <w:rFonts w:hint="eastAsia" w:ascii="宋体" w:cs="宋体"/>
                <w:color w:val="0000FF"/>
                <w:kern w:val="0"/>
                <w:sz w:val="24"/>
                <w:szCs w:val="24"/>
                <w:lang w:bidi="ar-SA"/>
              </w:rPr>
            </w:pPr>
            <w:r>
              <w:rPr>
                <w:rFonts w:hint="eastAsia" w:ascii="宋体" w:hAnsi="宋体"/>
                <w:color w:val="000000"/>
                <w:sz w:val="24"/>
                <w:szCs w:val="24"/>
              </w:rPr>
              <w:t>1.5cm厚PVC+1.0mm厚不锈钢拉丝</w:t>
            </w:r>
          </w:p>
        </w:tc>
        <w:tc>
          <w:tcPr>
            <w:tcW w:w="640"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 xml:space="preserve">320.00 </w:t>
            </w:r>
          </w:p>
        </w:tc>
        <w:tc>
          <w:tcPr>
            <w:tcW w:w="656"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cm</w:t>
            </w:r>
          </w:p>
        </w:tc>
        <w:tc>
          <w:tcPr>
            <w:tcW w:w="1590" w:type="dxa"/>
            <w:noWrap w:val="0"/>
            <w:vAlign w:val="center"/>
          </w:tcPr>
          <w:p>
            <w:pPr>
              <w:widowControl/>
              <w:jc w:val="center"/>
              <w:rPr>
                <w:rFonts w:hint="eastAsia" w:ascii="宋体" w:cs="宋体"/>
                <w:color w:val="0000FF"/>
                <w:kern w:val="0"/>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39</w:t>
            </w:r>
          </w:p>
        </w:tc>
        <w:tc>
          <w:tcPr>
            <w:tcW w:w="1273" w:type="dxa"/>
            <w:vMerge w:val="continue"/>
            <w:noWrap w:val="0"/>
            <w:vAlign w:val="center"/>
          </w:tcPr>
          <w:p>
            <w:pPr>
              <w:widowControl/>
              <w:jc w:val="center"/>
              <w:rPr>
                <w:color w:val="0000FF"/>
                <w:sz w:val="24"/>
                <w:szCs w:val="24"/>
              </w:rPr>
            </w:pPr>
          </w:p>
        </w:tc>
        <w:tc>
          <w:tcPr>
            <w:tcW w:w="5413" w:type="dxa"/>
            <w:noWrap w:val="0"/>
            <w:vAlign w:val="center"/>
          </w:tcPr>
          <w:p>
            <w:pPr>
              <w:widowControl/>
              <w:jc w:val="left"/>
              <w:rPr>
                <w:rFonts w:hint="eastAsia" w:ascii="宋体" w:cs="宋体"/>
                <w:color w:val="0000FF"/>
                <w:kern w:val="0"/>
                <w:sz w:val="24"/>
                <w:szCs w:val="24"/>
                <w:lang w:bidi="ar-SA"/>
              </w:rPr>
            </w:pPr>
            <w:r>
              <w:rPr>
                <w:rFonts w:hint="eastAsia" w:ascii="宋体" w:hAnsi="宋体"/>
                <w:color w:val="000000"/>
                <w:sz w:val="24"/>
                <w:szCs w:val="24"/>
              </w:rPr>
              <w:t>1.0mm厚不锈钢拉丝牌</w:t>
            </w:r>
          </w:p>
        </w:tc>
        <w:tc>
          <w:tcPr>
            <w:tcW w:w="640"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 xml:space="preserve">12.50 </w:t>
            </w:r>
          </w:p>
        </w:tc>
        <w:tc>
          <w:tcPr>
            <w:tcW w:w="656"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m</w:t>
            </w:r>
            <w:r>
              <w:rPr>
                <w:rFonts w:ascii="宋体" w:hAnsi="宋体"/>
                <w:color w:val="000000"/>
                <w:sz w:val="24"/>
                <w:szCs w:val="24"/>
                <w:vertAlign w:val="superscript"/>
              </w:rPr>
              <w:t>2</w:t>
            </w:r>
          </w:p>
        </w:tc>
        <w:tc>
          <w:tcPr>
            <w:tcW w:w="1590" w:type="dxa"/>
            <w:noWrap w:val="0"/>
            <w:vAlign w:val="center"/>
          </w:tcPr>
          <w:p>
            <w:pPr>
              <w:widowControl/>
              <w:jc w:val="center"/>
              <w:rPr>
                <w:rFonts w:hint="eastAsia" w:ascii="宋体" w:cs="宋体"/>
                <w:color w:val="0000FF"/>
                <w:kern w:val="0"/>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40</w:t>
            </w:r>
          </w:p>
        </w:tc>
        <w:tc>
          <w:tcPr>
            <w:tcW w:w="1273" w:type="dxa"/>
            <w:vMerge w:val="continue"/>
            <w:noWrap w:val="0"/>
            <w:vAlign w:val="center"/>
          </w:tcPr>
          <w:p>
            <w:pPr>
              <w:widowControl/>
              <w:jc w:val="center"/>
              <w:rPr>
                <w:color w:val="0000FF"/>
                <w:sz w:val="24"/>
                <w:szCs w:val="24"/>
              </w:rPr>
            </w:pPr>
          </w:p>
        </w:tc>
        <w:tc>
          <w:tcPr>
            <w:tcW w:w="5413" w:type="dxa"/>
            <w:noWrap w:val="0"/>
            <w:vAlign w:val="center"/>
          </w:tcPr>
          <w:p>
            <w:pPr>
              <w:widowControl/>
              <w:jc w:val="left"/>
              <w:rPr>
                <w:rFonts w:hint="eastAsia" w:ascii="宋体" w:cs="宋体"/>
                <w:color w:val="0000FF"/>
                <w:kern w:val="0"/>
                <w:sz w:val="24"/>
                <w:szCs w:val="24"/>
                <w:lang w:bidi="ar-SA"/>
              </w:rPr>
            </w:pPr>
            <w:r>
              <w:rPr>
                <w:rFonts w:hint="eastAsia" w:ascii="宋体" w:hAnsi="宋体"/>
                <w:color w:val="000000"/>
                <w:sz w:val="24"/>
                <w:szCs w:val="24"/>
              </w:rPr>
              <w:t>室内高清写真</w:t>
            </w:r>
          </w:p>
        </w:tc>
        <w:tc>
          <w:tcPr>
            <w:tcW w:w="640"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 xml:space="preserve">42.00 </w:t>
            </w:r>
          </w:p>
        </w:tc>
        <w:tc>
          <w:tcPr>
            <w:tcW w:w="656"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m</w:t>
            </w:r>
            <w:r>
              <w:rPr>
                <w:rFonts w:ascii="宋体" w:hAnsi="宋体"/>
                <w:color w:val="000000"/>
                <w:sz w:val="24"/>
                <w:szCs w:val="24"/>
                <w:vertAlign w:val="superscript"/>
              </w:rPr>
              <w:t>2</w:t>
            </w:r>
          </w:p>
        </w:tc>
        <w:tc>
          <w:tcPr>
            <w:tcW w:w="1590" w:type="dxa"/>
            <w:noWrap w:val="0"/>
            <w:vAlign w:val="center"/>
          </w:tcPr>
          <w:p>
            <w:pPr>
              <w:widowControl/>
              <w:jc w:val="center"/>
              <w:rPr>
                <w:rFonts w:hint="eastAsia" w:ascii="宋体" w:cs="宋体"/>
                <w:color w:val="0000FF"/>
                <w:kern w:val="0"/>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41</w:t>
            </w:r>
          </w:p>
        </w:tc>
        <w:tc>
          <w:tcPr>
            <w:tcW w:w="1273" w:type="dxa"/>
            <w:vMerge w:val="continue"/>
            <w:noWrap w:val="0"/>
            <w:vAlign w:val="center"/>
          </w:tcPr>
          <w:p>
            <w:pPr>
              <w:widowControl/>
              <w:jc w:val="center"/>
              <w:rPr>
                <w:color w:val="0000FF"/>
                <w:sz w:val="24"/>
                <w:szCs w:val="24"/>
              </w:rPr>
            </w:pPr>
          </w:p>
        </w:tc>
        <w:tc>
          <w:tcPr>
            <w:tcW w:w="5413" w:type="dxa"/>
            <w:noWrap w:val="0"/>
            <w:vAlign w:val="center"/>
          </w:tcPr>
          <w:p>
            <w:pPr>
              <w:widowControl/>
              <w:jc w:val="left"/>
              <w:rPr>
                <w:rFonts w:hint="eastAsia" w:ascii="宋体" w:cs="宋体"/>
                <w:color w:val="0000FF"/>
                <w:kern w:val="0"/>
                <w:sz w:val="24"/>
                <w:szCs w:val="24"/>
                <w:lang w:bidi="ar-SA"/>
              </w:rPr>
            </w:pPr>
            <w:r>
              <w:rPr>
                <w:rFonts w:hint="eastAsia" w:ascii="宋体" w:hAnsi="宋体"/>
                <w:color w:val="000000"/>
                <w:sz w:val="24"/>
                <w:szCs w:val="24"/>
              </w:rPr>
              <w:t>2cm厚PVC+UV+1mm厚不锈钢</w:t>
            </w:r>
          </w:p>
        </w:tc>
        <w:tc>
          <w:tcPr>
            <w:tcW w:w="640"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 xml:space="preserve">10.00 </w:t>
            </w:r>
          </w:p>
        </w:tc>
        <w:tc>
          <w:tcPr>
            <w:tcW w:w="656"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m</w:t>
            </w:r>
            <w:r>
              <w:rPr>
                <w:rFonts w:ascii="宋体" w:hAnsi="宋体"/>
                <w:color w:val="000000"/>
                <w:sz w:val="24"/>
                <w:szCs w:val="24"/>
                <w:vertAlign w:val="superscript"/>
              </w:rPr>
              <w:t>2</w:t>
            </w:r>
          </w:p>
        </w:tc>
        <w:tc>
          <w:tcPr>
            <w:tcW w:w="1590" w:type="dxa"/>
            <w:noWrap w:val="0"/>
            <w:vAlign w:val="center"/>
          </w:tcPr>
          <w:p>
            <w:pPr>
              <w:widowControl/>
              <w:jc w:val="center"/>
              <w:rPr>
                <w:rFonts w:hint="eastAsia" w:ascii="宋体" w:cs="宋体"/>
                <w:color w:val="0000FF"/>
                <w:kern w:val="0"/>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42</w:t>
            </w:r>
          </w:p>
        </w:tc>
        <w:tc>
          <w:tcPr>
            <w:tcW w:w="1273" w:type="dxa"/>
            <w:vMerge w:val="continue"/>
            <w:noWrap w:val="0"/>
            <w:vAlign w:val="center"/>
          </w:tcPr>
          <w:p>
            <w:pPr>
              <w:widowControl/>
              <w:jc w:val="center"/>
              <w:rPr>
                <w:color w:val="0000FF"/>
                <w:sz w:val="24"/>
                <w:szCs w:val="24"/>
              </w:rPr>
            </w:pPr>
          </w:p>
        </w:tc>
        <w:tc>
          <w:tcPr>
            <w:tcW w:w="5413" w:type="dxa"/>
            <w:noWrap w:val="0"/>
            <w:vAlign w:val="center"/>
          </w:tcPr>
          <w:p>
            <w:pPr>
              <w:widowControl/>
              <w:jc w:val="left"/>
              <w:rPr>
                <w:rFonts w:hint="eastAsia" w:ascii="宋体" w:cs="宋体"/>
                <w:color w:val="0000FF"/>
                <w:kern w:val="0"/>
                <w:sz w:val="24"/>
                <w:szCs w:val="24"/>
                <w:lang w:bidi="ar-SA"/>
              </w:rPr>
            </w:pPr>
            <w:r>
              <w:rPr>
                <w:rFonts w:hint="eastAsia" w:ascii="宋体" w:hAnsi="宋体"/>
                <w:color w:val="000000"/>
                <w:sz w:val="24"/>
                <w:szCs w:val="24"/>
              </w:rPr>
              <w:t>2cm厚PVC+1mm厚不锈钢字</w:t>
            </w:r>
          </w:p>
        </w:tc>
        <w:tc>
          <w:tcPr>
            <w:tcW w:w="640"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 xml:space="preserve">3.00 </w:t>
            </w:r>
          </w:p>
        </w:tc>
        <w:tc>
          <w:tcPr>
            <w:tcW w:w="656"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m</w:t>
            </w:r>
            <w:r>
              <w:rPr>
                <w:rFonts w:ascii="宋体" w:hAnsi="宋体"/>
                <w:color w:val="000000"/>
                <w:sz w:val="24"/>
                <w:szCs w:val="24"/>
                <w:vertAlign w:val="superscript"/>
              </w:rPr>
              <w:t>2</w:t>
            </w:r>
          </w:p>
        </w:tc>
        <w:tc>
          <w:tcPr>
            <w:tcW w:w="1590" w:type="dxa"/>
            <w:noWrap w:val="0"/>
            <w:vAlign w:val="center"/>
          </w:tcPr>
          <w:p>
            <w:pPr>
              <w:widowControl/>
              <w:jc w:val="center"/>
              <w:rPr>
                <w:rFonts w:hint="eastAsia" w:ascii="宋体" w:cs="宋体"/>
                <w:color w:val="0000FF"/>
                <w:kern w:val="0"/>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43</w:t>
            </w:r>
          </w:p>
        </w:tc>
        <w:tc>
          <w:tcPr>
            <w:tcW w:w="1273" w:type="dxa"/>
            <w:vMerge w:val="continue"/>
            <w:noWrap w:val="0"/>
            <w:vAlign w:val="center"/>
          </w:tcPr>
          <w:p>
            <w:pPr>
              <w:widowControl/>
              <w:jc w:val="center"/>
              <w:rPr>
                <w:color w:val="0000FF"/>
                <w:sz w:val="24"/>
                <w:szCs w:val="24"/>
              </w:rPr>
            </w:pPr>
          </w:p>
        </w:tc>
        <w:tc>
          <w:tcPr>
            <w:tcW w:w="5413" w:type="dxa"/>
            <w:noWrap w:val="0"/>
            <w:vAlign w:val="center"/>
          </w:tcPr>
          <w:p>
            <w:pPr>
              <w:widowControl/>
              <w:jc w:val="left"/>
              <w:rPr>
                <w:rFonts w:hint="eastAsia" w:ascii="宋体" w:cs="宋体"/>
                <w:color w:val="0000FF"/>
                <w:kern w:val="0"/>
                <w:sz w:val="24"/>
                <w:szCs w:val="24"/>
                <w:lang w:bidi="ar-SA"/>
              </w:rPr>
            </w:pPr>
            <w:r>
              <w:rPr>
                <w:rFonts w:hint="eastAsia" w:ascii="宋体" w:hAnsi="宋体"/>
                <w:color w:val="000000"/>
                <w:sz w:val="24"/>
                <w:szCs w:val="24"/>
              </w:rPr>
              <w:t>2cm厚PVC+1mm厚不锈钢+3mm亚克力字</w:t>
            </w:r>
          </w:p>
        </w:tc>
        <w:tc>
          <w:tcPr>
            <w:tcW w:w="640"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 xml:space="preserve">12.00 </w:t>
            </w:r>
          </w:p>
        </w:tc>
        <w:tc>
          <w:tcPr>
            <w:tcW w:w="656"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m</w:t>
            </w:r>
            <w:r>
              <w:rPr>
                <w:rFonts w:ascii="宋体" w:hAnsi="宋体"/>
                <w:color w:val="000000"/>
                <w:sz w:val="24"/>
                <w:szCs w:val="24"/>
                <w:vertAlign w:val="superscript"/>
              </w:rPr>
              <w:t>2</w:t>
            </w:r>
          </w:p>
        </w:tc>
        <w:tc>
          <w:tcPr>
            <w:tcW w:w="1590" w:type="dxa"/>
            <w:noWrap w:val="0"/>
            <w:vAlign w:val="center"/>
          </w:tcPr>
          <w:p>
            <w:pPr>
              <w:widowControl/>
              <w:jc w:val="center"/>
              <w:rPr>
                <w:rFonts w:hint="eastAsia" w:ascii="宋体" w:cs="宋体"/>
                <w:color w:val="0000FF"/>
                <w:kern w:val="0"/>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44</w:t>
            </w:r>
          </w:p>
        </w:tc>
        <w:tc>
          <w:tcPr>
            <w:tcW w:w="1273"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成品地面遮蔽保护</w:t>
            </w:r>
          </w:p>
        </w:tc>
        <w:tc>
          <w:tcPr>
            <w:tcW w:w="5413" w:type="dxa"/>
            <w:noWrap w:val="0"/>
            <w:vAlign w:val="center"/>
          </w:tcPr>
          <w:p>
            <w:pPr>
              <w:widowControl/>
              <w:jc w:val="left"/>
              <w:rPr>
                <w:rFonts w:hint="eastAsia" w:ascii="宋体" w:cs="宋体"/>
                <w:color w:val="0000FF"/>
                <w:kern w:val="0"/>
                <w:sz w:val="24"/>
                <w:szCs w:val="24"/>
                <w:lang w:bidi="ar-SA"/>
              </w:rPr>
            </w:pPr>
            <w:r>
              <w:rPr>
                <w:rFonts w:hint="eastAsia" w:ascii="宋体" w:hAnsi="宋体"/>
                <w:color w:val="000000"/>
                <w:sz w:val="24"/>
                <w:szCs w:val="24"/>
              </w:rPr>
              <w:t>人工、专用保护膜</w:t>
            </w:r>
          </w:p>
        </w:tc>
        <w:tc>
          <w:tcPr>
            <w:tcW w:w="640"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 xml:space="preserve">178.00 </w:t>
            </w:r>
          </w:p>
        </w:tc>
        <w:tc>
          <w:tcPr>
            <w:tcW w:w="656"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m</w:t>
            </w:r>
            <w:r>
              <w:rPr>
                <w:rFonts w:ascii="宋体" w:hAnsi="宋体"/>
                <w:color w:val="000000"/>
                <w:sz w:val="24"/>
                <w:szCs w:val="24"/>
                <w:vertAlign w:val="superscript"/>
              </w:rPr>
              <w:t>2</w:t>
            </w:r>
          </w:p>
        </w:tc>
        <w:tc>
          <w:tcPr>
            <w:tcW w:w="1590" w:type="dxa"/>
            <w:noWrap w:val="0"/>
            <w:vAlign w:val="center"/>
          </w:tcPr>
          <w:p>
            <w:pPr>
              <w:widowControl/>
              <w:jc w:val="center"/>
              <w:rPr>
                <w:rFonts w:hint="eastAsia" w:ascii="宋体" w:cs="宋体"/>
                <w:color w:val="0000FF"/>
                <w:kern w:val="0"/>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45</w:t>
            </w:r>
          </w:p>
        </w:tc>
        <w:tc>
          <w:tcPr>
            <w:tcW w:w="1273"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工地日常垃圾清理</w:t>
            </w:r>
          </w:p>
        </w:tc>
        <w:tc>
          <w:tcPr>
            <w:tcW w:w="5413" w:type="dxa"/>
            <w:noWrap w:val="0"/>
            <w:vAlign w:val="center"/>
          </w:tcPr>
          <w:p>
            <w:pPr>
              <w:widowControl/>
              <w:jc w:val="left"/>
              <w:rPr>
                <w:rFonts w:hint="eastAsia" w:ascii="宋体" w:cs="宋体"/>
                <w:color w:val="0000FF"/>
                <w:kern w:val="0"/>
                <w:sz w:val="24"/>
                <w:szCs w:val="24"/>
                <w:lang w:bidi="ar-SA"/>
              </w:rPr>
            </w:pPr>
            <w:r>
              <w:rPr>
                <w:rFonts w:hint="eastAsia" w:ascii="宋体" w:hAnsi="宋体"/>
                <w:color w:val="000000"/>
                <w:sz w:val="24"/>
                <w:szCs w:val="24"/>
              </w:rPr>
              <w:t>工地现场施工垃圾清理、堆放、搬运下楼指定地点</w:t>
            </w:r>
          </w:p>
        </w:tc>
        <w:tc>
          <w:tcPr>
            <w:tcW w:w="640"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 xml:space="preserve">178.00 </w:t>
            </w:r>
          </w:p>
        </w:tc>
        <w:tc>
          <w:tcPr>
            <w:tcW w:w="656"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m</w:t>
            </w:r>
            <w:r>
              <w:rPr>
                <w:rFonts w:ascii="宋体" w:hAnsi="宋体"/>
                <w:color w:val="000000"/>
                <w:sz w:val="24"/>
                <w:szCs w:val="24"/>
                <w:vertAlign w:val="superscript"/>
              </w:rPr>
              <w:t>2</w:t>
            </w:r>
          </w:p>
        </w:tc>
        <w:tc>
          <w:tcPr>
            <w:tcW w:w="1590" w:type="dxa"/>
            <w:noWrap w:val="0"/>
            <w:vAlign w:val="center"/>
          </w:tcPr>
          <w:p>
            <w:pPr>
              <w:widowControl/>
              <w:jc w:val="center"/>
              <w:rPr>
                <w:rFonts w:hint="eastAsia" w:ascii="宋体" w:cs="宋体"/>
                <w:color w:val="0000FF"/>
                <w:kern w:val="0"/>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46</w:t>
            </w:r>
          </w:p>
        </w:tc>
        <w:tc>
          <w:tcPr>
            <w:tcW w:w="1273"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材料室内运输上楼搬运费</w:t>
            </w:r>
          </w:p>
        </w:tc>
        <w:tc>
          <w:tcPr>
            <w:tcW w:w="5413" w:type="dxa"/>
            <w:noWrap w:val="0"/>
            <w:vAlign w:val="center"/>
          </w:tcPr>
          <w:p>
            <w:pPr>
              <w:widowControl/>
              <w:jc w:val="left"/>
              <w:rPr>
                <w:rFonts w:hint="eastAsia" w:ascii="宋体" w:cs="宋体"/>
                <w:color w:val="0000FF"/>
                <w:kern w:val="0"/>
                <w:sz w:val="24"/>
                <w:szCs w:val="24"/>
                <w:lang w:bidi="ar-SA"/>
              </w:rPr>
            </w:pPr>
            <w:r>
              <w:rPr>
                <w:rFonts w:hint="eastAsia" w:ascii="宋体" w:hAnsi="宋体"/>
                <w:color w:val="000000"/>
                <w:sz w:val="24"/>
                <w:szCs w:val="24"/>
              </w:rPr>
              <w:t>2楼</w:t>
            </w:r>
          </w:p>
        </w:tc>
        <w:tc>
          <w:tcPr>
            <w:tcW w:w="640"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 xml:space="preserve">178.00 </w:t>
            </w:r>
          </w:p>
        </w:tc>
        <w:tc>
          <w:tcPr>
            <w:tcW w:w="656"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m</w:t>
            </w:r>
            <w:r>
              <w:rPr>
                <w:rFonts w:ascii="宋体" w:hAnsi="宋体"/>
                <w:color w:val="000000"/>
                <w:sz w:val="24"/>
                <w:szCs w:val="24"/>
                <w:vertAlign w:val="superscript"/>
              </w:rPr>
              <w:t>2</w:t>
            </w:r>
          </w:p>
        </w:tc>
        <w:tc>
          <w:tcPr>
            <w:tcW w:w="1590" w:type="dxa"/>
            <w:noWrap w:val="0"/>
            <w:vAlign w:val="center"/>
          </w:tcPr>
          <w:p>
            <w:pPr>
              <w:widowControl/>
              <w:jc w:val="center"/>
              <w:rPr>
                <w:rFonts w:hint="eastAsia" w:ascii="宋体" w:cs="宋体"/>
                <w:color w:val="0000FF"/>
                <w:kern w:val="0"/>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47</w:t>
            </w:r>
          </w:p>
        </w:tc>
        <w:tc>
          <w:tcPr>
            <w:tcW w:w="1273"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完工后保洁费</w:t>
            </w:r>
          </w:p>
        </w:tc>
        <w:tc>
          <w:tcPr>
            <w:tcW w:w="5413" w:type="dxa"/>
            <w:noWrap w:val="0"/>
            <w:vAlign w:val="center"/>
          </w:tcPr>
          <w:p>
            <w:pPr>
              <w:widowControl/>
              <w:jc w:val="left"/>
              <w:rPr>
                <w:rFonts w:hint="eastAsia" w:ascii="宋体" w:cs="宋体"/>
                <w:color w:val="0000FF"/>
                <w:kern w:val="0"/>
                <w:sz w:val="24"/>
                <w:szCs w:val="24"/>
                <w:lang w:bidi="ar-SA"/>
              </w:rPr>
            </w:pPr>
            <w:r>
              <w:rPr>
                <w:rFonts w:hint="eastAsia"/>
                <w:color w:val="000000"/>
                <w:sz w:val="24"/>
                <w:szCs w:val="24"/>
                <w:lang w:val="en-US" w:eastAsia="zh-CN"/>
              </w:rPr>
              <w:t>全面</w:t>
            </w:r>
            <w:r>
              <w:rPr>
                <w:rFonts w:hint="eastAsia" w:eastAsia="宋体"/>
                <w:color w:val="000000"/>
                <w:sz w:val="24"/>
                <w:szCs w:val="24"/>
                <w:lang w:val="en-US" w:eastAsia="zh-CN"/>
              </w:rPr>
              <w:t>干净卫生，</w:t>
            </w:r>
            <w:r>
              <w:rPr>
                <w:rFonts w:hint="eastAsia"/>
                <w:color w:val="000000"/>
                <w:sz w:val="24"/>
                <w:szCs w:val="24"/>
                <w:lang w:val="en-US" w:eastAsia="zh-CN"/>
              </w:rPr>
              <w:t>无灰尘</w:t>
            </w:r>
            <w:r>
              <w:rPr>
                <w:rFonts w:hint="eastAsia" w:eastAsia="宋体"/>
                <w:color w:val="000000"/>
                <w:sz w:val="24"/>
                <w:szCs w:val="24"/>
                <w:lang w:val="en-US" w:eastAsia="zh-CN"/>
              </w:rPr>
              <w:t>、无白色垃圾</w:t>
            </w:r>
            <w:r>
              <w:rPr>
                <w:rFonts w:hint="eastAsia"/>
                <w:color w:val="000000"/>
                <w:sz w:val="24"/>
                <w:szCs w:val="24"/>
                <w:lang w:val="en-US" w:eastAsia="zh-CN"/>
              </w:rPr>
              <w:t>、</w:t>
            </w:r>
            <w:r>
              <w:rPr>
                <w:rFonts w:hint="eastAsia" w:ascii="宋体" w:hAnsi="宋体" w:cs="宋体"/>
                <w:sz w:val="24"/>
              </w:rPr>
              <w:t>门窗干净明亮</w:t>
            </w:r>
            <w:r>
              <w:rPr>
                <w:rFonts w:hint="eastAsia" w:ascii="宋体" w:hAnsi="宋体" w:cs="宋体"/>
                <w:sz w:val="24"/>
                <w:lang w:eastAsia="zh-CN"/>
              </w:rPr>
              <w:t>、</w:t>
            </w:r>
            <w:r>
              <w:rPr>
                <w:rFonts w:hint="eastAsia" w:ascii="宋体" w:hAnsi="宋体" w:cs="宋体"/>
                <w:sz w:val="24"/>
              </w:rPr>
              <w:t>墙面瓷砖干净，无脏污。</w:t>
            </w:r>
          </w:p>
        </w:tc>
        <w:tc>
          <w:tcPr>
            <w:tcW w:w="640"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 xml:space="preserve">178.00 </w:t>
            </w:r>
          </w:p>
        </w:tc>
        <w:tc>
          <w:tcPr>
            <w:tcW w:w="656" w:type="dxa"/>
            <w:noWrap w:val="0"/>
            <w:vAlign w:val="center"/>
          </w:tcPr>
          <w:p>
            <w:pPr>
              <w:widowControl/>
              <w:jc w:val="center"/>
              <w:rPr>
                <w:rFonts w:hint="eastAsia" w:ascii="宋体" w:cs="宋体"/>
                <w:color w:val="0000FF"/>
                <w:kern w:val="0"/>
                <w:sz w:val="24"/>
                <w:szCs w:val="24"/>
                <w:lang w:bidi="ar-SA"/>
              </w:rPr>
            </w:pPr>
            <w:r>
              <w:rPr>
                <w:rFonts w:ascii="宋体" w:hAnsi="宋体"/>
                <w:color w:val="000000"/>
                <w:sz w:val="24"/>
                <w:szCs w:val="24"/>
              </w:rPr>
              <w:t>m</w:t>
            </w:r>
            <w:r>
              <w:rPr>
                <w:rFonts w:ascii="宋体" w:hAnsi="宋体"/>
                <w:color w:val="000000"/>
                <w:sz w:val="24"/>
                <w:szCs w:val="24"/>
                <w:vertAlign w:val="superscript"/>
              </w:rPr>
              <w:t>2</w:t>
            </w:r>
          </w:p>
        </w:tc>
        <w:tc>
          <w:tcPr>
            <w:tcW w:w="1590" w:type="dxa"/>
            <w:noWrap w:val="0"/>
            <w:vAlign w:val="center"/>
          </w:tcPr>
          <w:p>
            <w:pPr>
              <w:widowControl/>
              <w:jc w:val="center"/>
              <w:rPr>
                <w:rFonts w:hint="eastAsia" w:ascii="宋体" w:cs="宋体"/>
                <w:color w:val="0000FF"/>
                <w:kern w:val="0"/>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372" w:type="dxa"/>
            <w:gridSpan w:val="5"/>
            <w:noWrap w:val="0"/>
            <w:vAlign w:val="center"/>
          </w:tcPr>
          <w:p>
            <w:pPr>
              <w:widowControl/>
              <w:jc w:val="left"/>
              <w:rPr>
                <w:rFonts w:hint="eastAsia" w:ascii="宋体" w:cs="宋体"/>
                <w:b/>
                <w:bCs/>
                <w:color w:val="000000"/>
                <w:kern w:val="0"/>
                <w:sz w:val="24"/>
                <w:szCs w:val="24"/>
                <w:lang w:bidi="ar-SA"/>
              </w:rPr>
            </w:pPr>
            <w:r>
              <w:rPr>
                <w:rFonts w:hint="eastAsia" w:ascii="宋体" w:cs="宋体"/>
                <w:b/>
                <w:bCs/>
                <w:color w:val="000000"/>
                <w:kern w:val="0"/>
                <w:sz w:val="24"/>
                <w:szCs w:val="24"/>
                <w:lang w:bidi="ar-SA"/>
              </w:rPr>
              <w:t>（十）网络设备间及配套工程</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076" w:type="dxa"/>
            <w:gridSpan w:val="3"/>
            <w:noWrap w:val="0"/>
            <w:vAlign w:val="center"/>
          </w:tcPr>
          <w:p>
            <w:pPr>
              <w:widowControl/>
              <w:jc w:val="left"/>
              <w:rPr>
                <w:rFonts w:hint="eastAsia" w:ascii="宋体" w:cs="宋体"/>
                <w:b/>
                <w:bCs/>
                <w:color w:val="000000"/>
                <w:kern w:val="0"/>
                <w:sz w:val="24"/>
                <w:szCs w:val="24"/>
                <w:lang w:bidi="ar-SA"/>
              </w:rPr>
            </w:pPr>
            <w:r>
              <w:rPr>
                <w:rFonts w:hint="eastAsia" w:ascii="宋体" w:cs="宋体"/>
                <w:b/>
                <w:bCs/>
                <w:color w:val="000000"/>
                <w:kern w:val="0"/>
                <w:sz w:val="24"/>
                <w:szCs w:val="24"/>
                <w:lang w:bidi="ar-SA"/>
              </w:rPr>
              <w:t>一）天棚工程</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w:t>
            </w:r>
          </w:p>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w:t>
            </w:r>
          </w:p>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olor w:val="000000"/>
                <w:sz w:val="24"/>
                <w:szCs w:val="24"/>
              </w:rPr>
              <w:t xml:space="preserve">1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olor w:val="000000"/>
                <w:sz w:val="24"/>
                <w:szCs w:val="24"/>
              </w:rPr>
              <w:t>顶面防尘及保温层处理</w:t>
            </w:r>
          </w:p>
        </w:tc>
        <w:tc>
          <w:tcPr>
            <w:tcW w:w="5413" w:type="dxa"/>
            <w:noWrap w:val="0"/>
            <w:vAlign w:val="center"/>
          </w:tcPr>
          <w:p>
            <w:pPr>
              <w:widowControl/>
              <w:jc w:val="left"/>
              <w:rPr>
                <w:rFonts w:hint="eastAsia" w:ascii="宋体" w:cs="宋体"/>
                <w:color w:val="000000"/>
                <w:kern w:val="0"/>
                <w:sz w:val="24"/>
                <w:szCs w:val="24"/>
                <w:lang w:bidi="ar-SA"/>
              </w:rPr>
            </w:pPr>
            <w:r>
              <w:rPr>
                <w:rFonts w:hint="eastAsia" w:ascii="宋体"/>
                <w:color w:val="000000"/>
                <w:sz w:val="24"/>
                <w:szCs w:val="24"/>
              </w:rPr>
              <w:t>防尘漆、橡塑保温板粘贴、0.8mm镀锌板保护、铆接。</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olor w:val="000000"/>
                <w:sz w:val="24"/>
                <w:szCs w:val="24"/>
              </w:rPr>
              <w:t xml:space="preserve">13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olor w:val="000000"/>
                <w:sz w:val="24"/>
                <w:szCs w:val="24"/>
              </w:rPr>
              <w:t>m</w:t>
            </w:r>
            <w:r>
              <w:rPr>
                <w:rFonts w:hint="eastAsia" w:ascii="宋体"/>
                <w:color w:val="000000"/>
                <w:sz w:val="24"/>
                <w:szCs w:val="24"/>
                <w:vertAlign w:val="superscript"/>
              </w:rPr>
              <w:t>2</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olor w:val="000000"/>
                <w:sz w:val="24"/>
                <w:szCs w:val="24"/>
              </w:rPr>
              <w:t xml:space="preserve">2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olor w:val="000000"/>
                <w:sz w:val="24"/>
                <w:szCs w:val="24"/>
              </w:rPr>
              <w:t>吊顶主龙骨</w:t>
            </w:r>
          </w:p>
        </w:tc>
        <w:tc>
          <w:tcPr>
            <w:tcW w:w="5413" w:type="dxa"/>
            <w:noWrap w:val="0"/>
            <w:vAlign w:val="center"/>
          </w:tcPr>
          <w:p>
            <w:pPr>
              <w:widowControl/>
              <w:jc w:val="left"/>
              <w:rPr>
                <w:rFonts w:hint="eastAsia" w:ascii="宋体" w:cs="宋体"/>
                <w:color w:val="000000"/>
                <w:kern w:val="0"/>
                <w:sz w:val="24"/>
                <w:szCs w:val="24"/>
                <w:lang w:bidi="ar-SA"/>
              </w:rPr>
            </w:pPr>
            <w:r>
              <w:rPr>
                <w:rFonts w:hint="eastAsia" w:ascii="宋体"/>
                <w:color w:val="000000"/>
                <w:sz w:val="24"/>
                <w:szCs w:val="24"/>
              </w:rPr>
              <w:t>75主龙骨+38穿心龙骨。</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olor w:val="000000"/>
                <w:sz w:val="24"/>
                <w:szCs w:val="24"/>
              </w:rPr>
              <w:t xml:space="preserve">13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olor w:val="000000"/>
                <w:sz w:val="24"/>
                <w:szCs w:val="24"/>
              </w:rPr>
              <w:t>m</w:t>
            </w:r>
            <w:r>
              <w:rPr>
                <w:rFonts w:hint="eastAsia" w:ascii="宋体"/>
                <w:color w:val="000000"/>
                <w:sz w:val="24"/>
                <w:szCs w:val="24"/>
                <w:vertAlign w:val="superscript"/>
              </w:rPr>
              <w:t>2</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olor w:val="000000"/>
                <w:sz w:val="24"/>
                <w:szCs w:val="24"/>
              </w:rPr>
              <w:t xml:space="preserve">3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olor w:val="000000"/>
                <w:sz w:val="24"/>
                <w:szCs w:val="24"/>
              </w:rPr>
              <w:t>微孔天花吊顶</w:t>
            </w:r>
          </w:p>
        </w:tc>
        <w:tc>
          <w:tcPr>
            <w:tcW w:w="5413" w:type="dxa"/>
            <w:noWrap w:val="0"/>
            <w:vAlign w:val="center"/>
          </w:tcPr>
          <w:p>
            <w:pPr>
              <w:widowControl/>
              <w:jc w:val="left"/>
              <w:rPr>
                <w:rFonts w:hint="eastAsia" w:ascii="宋体" w:cs="宋体"/>
                <w:color w:val="000000"/>
                <w:kern w:val="0"/>
                <w:sz w:val="24"/>
                <w:szCs w:val="24"/>
                <w:lang w:bidi="ar-SA"/>
              </w:rPr>
            </w:pPr>
            <w:r>
              <w:rPr>
                <w:rFonts w:hint="eastAsia" w:ascii="宋体"/>
                <w:color w:val="000000"/>
                <w:sz w:val="24"/>
                <w:szCs w:val="24"/>
              </w:rPr>
              <w:t>600*600铝合金微孔板，δ=0.8。</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olor w:val="000000"/>
                <w:sz w:val="24"/>
                <w:szCs w:val="24"/>
              </w:rPr>
              <w:t xml:space="preserve">13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olor w:val="000000"/>
                <w:sz w:val="24"/>
                <w:szCs w:val="24"/>
              </w:rPr>
              <w:t>m</w:t>
            </w:r>
            <w:r>
              <w:rPr>
                <w:rFonts w:hint="eastAsia" w:ascii="宋体"/>
                <w:color w:val="000000"/>
                <w:sz w:val="24"/>
                <w:szCs w:val="24"/>
                <w:vertAlign w:val="superscript"/>
              </w:rPr>
              <w:t>2</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olor w:val="000000"/>
                <w:sz w:val="24"/>
                <w:szCs w:val="24"/>
              </w:rPr>
              <w:t xml:space="preserve">4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olor w:val="000000"/>
                <w:sz w:val="24"/>
                <w:szCs w:val="24"/>
              </w:rPr>
              <w:t>嵌入式灯</w:t>
            </w:r>
          </w:p>
        </w:tc>
        <w:tc>
          <w:tcPr>
            <w:tcW w:w="5413" w:type="dxa"/>
            <w:noWrap w:val="0"/>
            <w:vAlign w:val="center"/>
          </w:tcPr>
          <w:p>
            <w:pPr>
              <w:widowControl/>
              <w:jc w:val="left"/>
              <w:rPr>
                <w:rFonts w:hint="eastAsia" w:ascii="宋体" w:cs="宋体"/>
                <w:color w:val="000000"/>
                <w:kern w:val="0"/>
                <w:sz w:val="24"/>
                <w:szCs w:val="24"/>
                <w:lang w:bidi="ar-SA"/>
              </w:rPr>
            </w:pPr>
            <w:r>
              <w:rPr>
                <w:rFonts w:hint="eastAsia" w:ascii="宋体"/>
                <w:color w:val="000000"/>
                <w:sz w:val="24"/>
                <w:szCs w:val="24"/>
              </w:rPr>
              <w:t>600*600 3*9W LED灯管。</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olor w:val="000000"/>
                <w:sz w:val="24"/>
                <w:szCs w:val="24"/>
              </w:rPr>
              <w:t xml:space="preserve">4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olor w:val="000000"/>
                <w:sz w:val="24"/>
                <w:szCs w:val="24"/>
              </w:rPr>
              <w:t>m</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olor w:val="000000"/>
                <w:sz w:val="24"/>
                <w:szCs w:val="24"/>
              </w:rPr>
              <w:t xml:space="preserve">5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olor w:val="000000"/>
                <w:sz w:val="24"/>
                <w:szCs w:val="24"/>
              </w:rPr>
              <w:t>LED 消防应急灯</w:t>
            </w:r>
          </w:p>
        </w:tc>
        <w:tc>
          <w:tcPr>
            <w:tcW w:w="5413" w:type="dxa"/>
            <w:noWrap w:val="0"/>
            <w:vAlign w:val="center"/>
          </w:tcPr>
          <w:p>
            <w:pPr>
              <w:widowControl/>
              <w:jc w:val="left"/>
              <w:rPr>
                <w:rFonts w:hint="eastAsia" w:ascii="宋体" w:cs="宋体"/>
                <w:color w:val="000000"/>
                <w:kern w:val="0"/>
                <w:sz w:val="24"/>
                <w:szCs w:val="24"/>
                <w:lang w:bidi="ar-SA"/>
              </w:rPr>
            </w:pPr>
            <w:r>
              <w:rPr>
                <w:rFonts w:hint="eastAsia" w:ascii="宋体"/>
                <w:color w:val="000000"/>
                <w:sz w:val="24"/>
                <w:szCs w:val="24"/>
              </w:rPr>
              <w:t>3W，LED、IP20、90min。</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olor w:val="000000"/>
                <w:sz w:val="24"/>
                <w:szCs w:val="24"/>
              </w:rPr>
              <w:t xml:space="preserve">1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olor w:val="000000"/>
                <w:sz w:val="24"/>
                <w:szCs w:val="24"/>
              </w:rPr>
              <w:t>个</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olor w:val="000000"/>
                <w:sz w:val="24"/>
                <w:szCs w:val="24"/>
              </w:rPr>
              <w:t xml:space="preserve">6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olor w:val="000000"/>
                <w:sz w:val="24"/>
                <w:szCs w:val="24"/>
              </w:rPr>
              <w:t>疏散指示灯</w:t>
            </w:r>
          </w:p>
        </w:tc>
        <w:tc>
          <w:tcPr>
            <w:tcW w:w="5413" w:type="dxa"/>
            <w:noWrap w:val="0"/>
            <w:vAlign w:val="center"/>
          </w:tcPr>
          <w:p>
            <w:pPr>
              <w:widowControl/>
              <w:jc w:val="left"/>
              <w:rPr>
                <w:rFonts w:hint="eastAsia" w:ascii="宋体" w:cs="宋体"/>
                <w:color w:val="000000"/>
                <w:kern w:val="0"/>
                <w:sz w:val="24"/>
                <w:szCs w:val="24"/>
                <w:lang w:bidi="ar-SA"/>
              </w:rPr>
            </w:pPr>
            <w:r>
              <w:rPr>
                <w:rFonts w:hint="eastAsia" w:ascii="宋体"/>
                <w:color w:val="000000"/>
                <w:sz w:val="24"/>
                <w:szCs w:val="24"/>
              </w:rPr>
              <w:t>3W，LED、90min。</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olor w:val="000000"/>
                <w:sz w:val="24"/>
                <w:szCs w:val="24"/>
              </w:rPr>
              <w:t xml:space="preserve">1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olor w:val="000000"/>
                <w:sz w:val="24"/>
                <w:szCs w:val="24"/>
              </w:rPr>
              <w:t>个</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olor w:val="000000"/>
                <w:sz w:val="24"/>
                <w:szCs w:val="24"/>
              </w:rPr>
              <w:t xml:space="preserve">7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olor w:val="000000"/>
                <w:sz w:val="24"/>
                <w:szCs w:val="24"/>
              </w:rPr>
              <w:t>辅材</w:t>
            </w:r>
          </w:p>
        </w:tc>
        <w:tc>
          <w:tcPr>
            <w:tcW w:w="5413" w:type="dxa"/>
            <w:noWrap w:val="0"/>
            <w:vAlign w:val="center"/>
          </w:tcPr>
          <w:p>
            <w:pPr>
              <w:widowControl/>
              <w:jc w:val="left"/>
              <w:rPr>
                <w:rFonts w:hint="eastAsia" w:ascii="宋体" w:cs="宋体"/>
                <w:color w:val="000000"/>
                <w:kern w:val="0"/>
                <w:sz w:val="24"/>
                <w:szCs w:val="24"/>
                <w:lang w:bidi="ar-SA"/>
              </w:rPr>
            </w:pPr>
            <w:r>
              <w:rPr>
                <w:rFonts w:hint="eastAsia" w:ascii="宋体"/>
                <w:color w:val="000000"/>
                <w:sz w:val="24"/>
                <w:szCs w:val="24"/>
              </w:rPr>
              <w:t>市电引入电缆 WDZA-YJ(F)Y-0.6/1KV-1(3x6)、电气工程相关的线缆、辅材等</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olor w:val="000000"/>
                <w:sz w:val="24"/>
                <w:szCs w:val="24"/>
              </w:rPr>
              <w:t xml:space="preserve">1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olor w:val="000000"/>
                <w:sz w:val="24"/>
                <w:szCs w:val="24"/>
              </w:rPr>
              <w:t>项</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076" w:type="dxa"/>
            <w:gridSpan w:val="3"/>
            <w:noWrap w:val="0"/>
            <w:vAlign w:val="center"/>
          </w:tcPr>
          <w:p>
            <w:pPr>
              <w:widowControl/>
              <w:jc w:val="left"/>
              <w:rPr>
                <w:rFonts w:hint="eastAsia" w:ascii="宋体" w:cs="宋体"/>
                <w:b/>
                <w:bCs/>
                <w:color w:val="000000"/>
                <w:kern w:val="0"/>
                <w:sz w:val="24"/>
                <w:szCs w:val="24"/>
                <w:lang w:bidi="ar-SA"/>
              </w:rPr>
            </w:pPr>
            <w:r>
              <w:rPr>
                <w:rFonts w:hint="eastAsia" w:ascii="宋体" w:cs="宋体"/>
                <w:b/>
                <w:bCs/>
                <w:color w:val="000000"/>
                <w:kern w:val="0"/>
                <w:sz w:val="24"/>
                <w:szCs w:val="24"/>
                <w:lang w:bidi="ar-SA"/>
              </w:rPr>
              <w:t>二）墙面工程</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olor w:val="000000"/>
                <w:sz w:val="24"/>
                <w:szCs w:val="24"/>
              </w:rPr>
              <w:t xml:space="preserve">1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olor w:val="000000"/>
                <w:sz w:val="24"/>
                <w:szCs w:val="24"/>
              </w:rPr>
              <w:t>墙面粉刷</w:t>
            </w:r>
          </w:p>
        </w:tc>
        <w:tc>
          <w:tcPr>
            <w:tcW w:w="5413" w:type="dxa"/>
            <w:noWrap w:val="0"/>
            <w:vAlign w:val="center"/>
          </w:tcPr>
          <w:p>
            <w:pPr>
              <w:widowControl/>
              <w:jc w:val="left"/>
              <w:rPr>
                <w:rFonts w:hint="eastAsia" w:ascii="宋体" w:cs="宋体"/>
                <w:color w:val="000000"/>
                <w:kern w:val="0"/>
                <w:sz w:val="24"/>
                <w:szCs w:val="24"/>
                <w:lang w:bidi="ar-SA"/>
              </w:rPr>
            </w:pPr>
            <w:r>
              <w:rPr>
                <w:rFonts w:hint="eastAsia" w:ascii="宋体"/>
                <w:color w:val="000000"/>
                <w:sz w:val="24"/>
                <w:szCs w:val="24"/>
              </w:rPr>
              <w:t>808胶水+石膏粉找底一遍+成品腻子粉两遍+打磨+人工费  &lt;按展开面积算&gt;</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olor w:val="000000"/>
                <w:sz w:val="24"/>
                <w:szCs w:val="24"/>
              </w:rPr>
              <w:t xml:space="preserve">45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olor w:val="000000"/>
                <w:sz w:val="24"/>
                <w:szCs w:val="24"/>
              </w:rPr>
              <w:t>m</w:t>
            </w:r>
            <w:r>
              <w:rPr>
                <w:rFonts w:hint="eastAsia" w:ascii="宋体"/>
                <w:color w:val="000000"/>
                <w:sz w:val="24"/>
                <w:szCs w:val="24"/>
                <w:vertAlign w:val="superscript"/>
              </w:rPr>
              <w:t>2</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olor w:val="000000"/>
                <w:sz w:val="24"/>
                <w:szCs w:val="24"/>
              </w:rPr>
              <w:t xml:space="preserve">2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olor w:val="000000"/>
                <w:sz w:val="24"/>
                <w:szCs w:val="24"/>
              </w:rPr>
              <w:t>乳胶漆</w:t>
            </w:r>
          </w:p>
        </w:tc>
        <w:tc>
          <w:tcPr>
            <w:tcW w:w="5413" w:type="dxa"/>
            <w:noWrap w:val="0"/>
            <w:vAlign w:val="center"/>
          </w:tcPr>
          <w:p>
            <w:pPr>
              <w:widowControl/>
              <w:jc w:val="left"/>
              <w:rPr>
                <w:rFonts w:hint="default" w:ascii="宋体" w:eastAsia="宋体" w:cs="宋体"/>
                <w:color w:val="000000"/>
                <w:kern w:val="0"/>
                <w:sz w:val="24"/>
                <w:szCs w:val="24"/>
                <w:lang w:val="en-US" w:eastAsia="zh-CN" w:bidi="ar-SA"/>
              </w:rPr>
            </w:pPr>
            <w:r>
              <w:rPr>
                <w:rFonts w:hint="eastAsia" w:ascii="宋体" w:cs="宋体"/>
                <w:color w:val="000000"/>
                <w:kern w:val="0"/>
                <w:sz w:val="24"/>
                <w:szCs w:val="24"/>
                <w:lang w:val="en-US" w:eastAsia="zh-CN" w:bidi="ar-SA"/>
              </w:rPr>
              <w:t>无毒无害，安全产品。</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olor w:val="000000"/>
                <w:sz w:val="24"/>
                <w:szCs w:val="24"/>
              </w:rPr>
              <w:t xml:space="preserve">45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olor w:val="000000"/>
                <w:sz w:val="24"/>
                <w:szCs w:val="24"/>
              </w:rPr>
              <w:t>m</w:t>
            </w:r>
            <w:r>
              <w:rPr>
                <w:rFonts w:hint="eastAsia" w:ascii="宋体"/>
                <w:color w:val="000000"/>
                <w:sz w:val="24"/>
                <w:szCs w:val="24"/>
                <w:vertAlign w:val="superscript"/>
              </w:rPr>
              <w:t>2</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olor w:val="000000"/>
                <w:sz w:val="24"/>
                <w:szCs w:val="24"/>
              </w:rPr>
              <w:t xml:space="preserve">3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olor w:val="000000"/>
                <w:sz w:val="24"/>
                <w:szCs w:val="24"/>
              </w:rPr>
              <w:t>保温处理</w:t>
            </w:r>
          </w:p>
        </w:tc>
        <w:tc>
          <w:tcPr>
            <w:tcW w:w="5413" w:type="dxa"/>
            <w:noWrap w:val="0"/>
            <w:vAlign w:val="center"/>
          </w:tcPr>
          <w:p>
            <w:pPr>
              <w:widowControl/>
              <w:jc w:val="left"/>
              <w:rPr>
                <w:rFonts w:hint="eastAsia" w:ascii="宋体" w:cs="宋体"/>
                <w:color w:val="000000"/>
                <w:kern w:val="0"/>
                <w:sz w:val="24"/>
                <w:szCs w:val="24"/>
                <w:lang w:bidi="ar-SA"/>
              </w:rPr>
            </w:pPr>
            <w:r>
              <w:rPr>
                <w:rFonts w:hint="eastAsia" w:ascii="宋体"/>
                <w:color w:val="000000"/>
                <w:sz w:val="24"/>
                <w:szCs w:val="24"/>
              </w:rPr>
              <w:t>防火岩棉。</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olor w:val="000000"/>
                <w:sz w:val="24"/>
                <w:szCs w:val="24"/>
              </w:rPr>
              <w:t xml:space="preserve">45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olor w:val="000000"/>
                <w:sz w:val="24"/>
                <w:szCs w:val="24"/>
              </w:rPr>
              <w:t>m</w:t>
            </w:r>
            <w:r>
              <w:rPr>
                <w:rFonts w:hint="eastAsia" w:ascii="宋体"/>
                <w:color w:val="000000"/>
                <w:sz w:val="24"/>
                <w:szCs w:val="24"/>
                <w:vertAlign w:val="superscript"/>
              </w:rPr>
              <w:t>2</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olor w:val="000000"/>
                <w:sz w:val="24"/>
                <w:szCs w:val="24"/>
              </w:rPr>
              <w:t xml:space="preserve">4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olor w:val="000000"/>
                <w:sz w:val="24"/>
                <w:szCs w:val="24"/>
              </w:rPr>
              <w:t>踢脚线</w:t>
            </w:r>
          </w:p>
        </w:tc>
        <w:tc>
          <w:tcPr>
            <w:tcW w:w="5413" w:type="dxa"/>
            <w:noWrap w:val="0"/>
            <w:vAlign w:val="center"/>
          </w:tcPr>
          <w:p>
            <w:pPr>
              <w:widowControl/>
              <w:jc w:val="left"/>
              <w:rPr>
                <w:rFonts w:hint="eastAsia" w:ascii="宋体" w:cs="宋体"/>
                <w:color w:val="000000"/>
                <w:kern w:val="0"/>
                <w:sz w:val="24"/>
                <w:szCs w:val="24"/>
                <w:lang w:bidi="ar-SA"/>
              </w:rPr>
            </w:pPr>
            <w:r>
              <w:rPr>
                <w:rFonts w:hint="eastAsia" w:ascii="宋体"/>
                <w:color w:val="000000"/>
                <w:sz w:val="24"/>
                <w:szCs w:val="24"/>
              </w:rPr>
              <w:t>不锈钢包边踢脚线。</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olor w:val="000000"/>
                <w:sz w:val="24"/>
                <w:szCs w:val="24"/>
              </w:rPr>
              <w:t xml:space="preserve">19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olor w:val="000000"/>
                <w:sz w:val="24"/>
                <w:szCs w:val="24"/>
              </w:rPr>
              <w:t>m</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olor w:val="000000"/>
                <w:sz w:val="24"/>
                <w:szCs w:val="24"/>
              </w:rPr>
              <w:t xml:space="preserve">5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olor w:val="000000"/>
                <w:sz w:val="24"/>
                <w:szCs w:val="24"/>
              </w:rPr>
              <w:t>防火门（单门）</w:t>
            </w:r>
          </w:p>
        </w:tc>
        <w:tc>
          <w:tcPr>
            <w:tcW w:w="5413" w:type="dxa"/>
            <w:noWrap w:val="0"/>
            <w:vAlign w:val="center"/>
          </w:tcPr>
          <w:p>
            <w:pPr>
              <w:widowControl/>
              <w:jc w:val="left"/>
              <w:rPr>
                <w:rFonts w:hint="eastAsia" w:ascii="宋体" w:cs="宋体"/>
                <w:color w:val="000000"/>
                <w:kern w:val="0"/>
                <w:sz w:val="24"/>
                <w:szCs w:val="24"/>
                <w:lang w:bidi="ar-SA"/>
              </w:rPr>
            </w:pPr>
            <w:r>
              <w:rPr>
                <w:rFonts w:hint="eastAsia" w:ascii="宋体"/>
                <w:color w:val="000000"/>
                <w:sz w:val="24"/>
                <w:szCs w:val="24"/>
              </w:rPr>
              <w:t>甲级防火门；含不锈钢门套及相主应配件；定制900*2100mm（单门）。</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olor w:val="000000"/>
                <w:sz w:val="24"/>
                <w:szCs w:val="24"/>
              </w:rPr>
              <w:t xml:space="preserve">1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olor w:val="000000"/>
                <w:sz w:val="24"/>
                <w:szCs w:val="24"/>
              </w:rPr>
              <w:t>樘</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olor w:val="000000"/>
                <w:sz w:val="24"/>
                <w:szCs w:val="24"/>
              </w:rPr>
              <w:t xml:space="preserve">6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olor w:val="000000"/>
                <w:sz w:val="24"/>
                <w:szCs w:val="24"/>
              </w:rPr>
              <w:t>开关面板</w:t>
            </w:r>
          </w:p>
        </w:tc>
        <w:tc>
          <w:tcPr>
            <w:tcW w:w="5413" w:type="dxa"/>
            <w:noWrap w:val="0"/>
            <w:vAlign w:val="center"/>
          </w:tcPr>
          <w:p>
            <w:pPr>
              <w:widowControl/>
              <w:jc w:val="left"/>
              <w:rPr>
                <w:rFonts w:hint="eastAsia" w:ascii="宋体" w:cs="宋体"/>
                <w:color w:val="000000"/>
                <w:kern w:val="0"/>
                <w:sz w:val="24"/>
                <w:szCs w:val="24"/>
                <w:lang w:bidi="ar-SA"/>
              </w:rPr>
            </w:pPr>
            <w:r>
              <w:rPr>
                <w:rFonts w:hint="eastAsia" w:ascii="宋体"/>
                <w:color w:val="000000"/>
                <w:sz w:val="24"/>
                <w:szCs w:val="24"/>
              </w:rPr>
              <w:t>86型，单开、双开、三开。</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olor w:val="000000"/>
                <w:sz w:val="24"/>
                <w:szCs w:val="24"/>
              </w:rPr>
              <w:t xml:space="preserve">8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olor w:val="000000"/>
                <w:sz w:val="24"/>
                <w:szCs w:val="24"/>
              </w:rPr>
              <w:t>个</w:t>
            </w:r>
          </w:p>
        </w:tc>
        <w:tc>
          <w:tcPr>
            <w:tcW w:w="1590" w:type="dxa"/>
            <w:noWrap w:val="0"/>
            <w:vAlign w:val="center"/>
          </w:tcPr>
          <w:p>
            <w:pPr>
              <w:widowControl/>
              <w:jc w:val="left"/>
              <w:rPr>
                <w:rFonts w:hint="eastAsia" w:ascii="宋体" w:cs="宋体"/>
                <w:color w:val="000000"/>
                <w:kern w:val="0"/>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076" w:type="dxa"/>
            <w:gridSpan w:val="3"/>
            <w:noWrap w:val="0"/>
            <w:vAlign w:val="center"/>
          </w:tcPr>
          <w:p>
            <w:pPr>
              <w:widowControl/>
              <w:jc w:val="left"/>
              <w:rPr>
                <w:rFonts w:hint="eastAsia" w:ascii="宋体" w:cs="宋体"/>
                <w:b/>
                <w:bCs/>
                <w:color w:val="000000"/>
                <w:kern w:val="0"/>
                <w:sz w:val="24"/>
                <w:szCs w:val="24"/>
                <w:lang w:bidi="ar-SA"/>
              </w:rPr>
            </w:pPr>
            <w:r>
              <w:rPr>
                <w:rFonts w:hint="eastAsia" w:ascii="宋体" w:cs="宋体"/>
                <w:b/>
                <w:bCs/>
                <w:color w:val="000000"/>
                <w:kern w:val="0"/>
                <w:sz w:val="24"/>
                <w:szCs w:val="24"/>
                <w:lang w:bidi="ar-SA"/>
              </w:rPr>
              <w:t>三）地面工程</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olor w:val="000000"/>
                <w:sz w:val="24"/>
                <w:szCs w:val="24"/>
              </w:rPr>
              <w:t xml:space="preserve">1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olor w:val="000000"/>
                <w:sz w:val="24"/>
                <w:szCs w:val="24"/>
              </w:rPr>
              <w:t>地面砖铲除</w:t>
            </w:r>
          </w:p>
        </w:tc>
        <w:tc>
          <w:tcPr>
            <w:tcW w:w="5413" w:type="dxa"/>
            <w:noWrap w:val="0"/>
            <w:vAlign w:val="center"/>
          </w:tcPr>
          <w:p>
            <w:pPr>
              <w:widowControl/>
              <w:jc w:val="left"/>
              <w:rPr>
                <w:rFonts w:hint="eastAsia" w:ascii="宋体" w:cs="宋体"/>
                <w:color w:val="000000"/>
                <w:kern w:val="0"/>
                <w:sz w:val="24"/>
                <w:szCs w:val="24"/>
                <w:lang w:bidi="ar-SA"/>
              </w:rPr>
            </w:pPr>
            <w:r>
              <w:rPr>
                <w:rFonts w:hint="eastAsia" w:ascii="宋体"/>
                <w:color w:val="000000"/>
                <w:sz w:val="24"/>
                <w:szCs w:val="24"/>
              </w:rPr>
              <w:t>铲除原有地面砖、人工费  &lt;含机具耗费&gt;  &lt;含基础剔除&gt;</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olor w:val="000000"/>
                <w:sz w:val="24"/>
                <w:szCs w:val="24"/>
              </w:rPr>
              <w:t xml:space="preserve">13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olor w:val="000000"/>
                <w:sz w:val="24"/>
                <w:szCs w:val="24"/>
              </w:rPr>
              <w:t>m</w:t>
            </w:r>
            <w:r>
              <w:rPr>
                <w:rFonts w:hint="eastAsia" w:ascii="宋体"/>
                <w:color w:val="000000"/>
                <w:sz w:val="24"/>
                <w:szCs w:val="24"/>
                <w:vertAlign w:val="superscript"/>
              </w:rPr>
              <w:t>2</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olor w:val="000000"/>
                <w:sz w:val="24"/>
                <w:szCs w:val="24"/>
              </w:rPr>
              <w:t xml:space="preserve">2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olor w:val="000000"/>
                <w:sz w:val="24"/>
                <w:szCs w:val="24"/>
              </w:rPr>
              <w:t>地面建渣</w:t>
            </w:r>
          </w:p>
        </w:tc>
        <w:tc>
          <w:tcPr>
            <w:tcW w:w="5413" w:type="dxa"/>
            <w:noWrap w:val="0"/>
            <w:vAlign w:val="center"/>
          </w:tcPr>
          <w:p>
            <w:pPr>
              <w:widowControl/>
              <w:jc w:val="left"/>
              <w:rPr>
                <w:rFonts w:hint="eastAsia" w:ascii="宋体" w:cs="宋体"/>
                <w:color w:val="000000"/>
                <w:kern w:val="0"/>
                <w:sz w:val="24"/>
                <w:szCs w:val="24"/>
                <w:lang w:bidi="ar-SA"/>
              </w:rPr>
            </w:pPr>
            <w:r>
              <w:rPr>
                <w:rFonts w:hint="eastAsia" w:ascii="宋体"/>
                <w:color w:val="000000"/>
                <w:sz w:val="24"/>
                <w:szCs w:val="24"/>
              </w:rPr>
              <w:t>人工清理+搬运下楼+上车</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olor w:val="000000"/>
                <w:sz w:val="24"/>
                <w:szCs w:val="24"/>
              </w:rPr>
              <w:t xml:space="preserve">13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olor w:val="000000"/>
                <w:sz w:val="24"/>
                <w:szCs w:val="24"/>
              </w:rPr>
              <w:t>m</w:t>
            </w:r>
            <w:r>
              <w:rPr>
                <w:rFonts w:hint="eastAsia" w:ascii="宋体"/>
                <w:color w:val="000000"/>
                <w:sz w:val="24"/>
                <w:szCs w:val="24"/>
                <w:vertAlign w:val="superscript"/>
              </w:rPr>
              <w:t>2</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olor w:val="000000"/>
                <w:sz w:val="24"/>
                <w:szCs w:val="24"/>
              </w:rPr>
              <w:t xml:space="preserve">3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olor w:val="000000"/>
                <w:sz w:val="24"/>
                <w:szCs w:val="24"/>
              </w:rPr>
              <w:t>建渣清运</w:t>
            </w:r>
          </w:p>
        </w:tc>
        <w:tc>
          <w:tcPr>
            <w:tcW w:w="5413" w:type="dxa"/>
            <w:noWrap w:val="0"/>
            <w:vAlign w:val="center"/>
          </w:tcPr>
          <w:p>
            <w:pPr>
              <w:widowControl/>
              <w:jc w:val="left"/>
              <w:rPr>
                <w:rFonts w:hint="eastAsia" w:ascii="宋体" w:cs="宋体"/>
                <w:color w:val="000000"/>
                <w:kern w:val="0"/>
                <w:sz w:val="24"/>
                <w:szCs w:val="24"/>
                <w:lang w:bidi="ar-SA"/>
              </w:rPr>
            </w:pPr>
            <w:r>
              <w:rPr>
                <w:rFonts w:hint="eastAsia" w:ascii="宋体"/>
                <w:color w:val="000000"/>
                <w:sz w:val="24"/>
                <w:szCs w:val="24"/>
              </w:rPr>
              <w:t>运费、倒场费</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olor w:val="000000"/>
                <w:sz w:val="24"/>
                <w:szCs w:val="24"/>
              </w:rPr>
              <w:t xml:space="preserve">1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olor w:val="000000"/>
                <w:sz w:val="24"/>
                <w:szCs w:val="24"/>
              </w:rPr>
              <w:t>m³</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olor w:val="000000"/>
                <w:sz w:val="24"/>
                <w:szCs w:val="24"/>
              </w:rPr>
              <w:t xml:space="preserve">4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olor w:val="000000"/>
                <w:sz w:val="24"/>
                <w:szCs w:val="24"/>
              </w:rPr>
              <w:t>地面防尘及保温层处理</w:t>
            </w:r>
          </w:p>
        </w:tc>
        <w:tc>
          <w:tcPr>
            <w:tcW w:w="5413" w:type="dxa"/>
            <w:noWrap w:val="0"/>
            <w:vAlign w:val="center"/>
          </w:tcPr>
          <w:p>
            <w:pPr>
              <w:widowControl/>
              <w:jc w:val="left"/>
              <w:rPr>
                <w:rFonts w:hint="eastAsia" w:ascii="宋体" w:cs="宋体"/>
                <w:color w:val="000000"/>
                <w:kern w:val="0"/>
                <w:sz w:val="24"/>
                <w:szCs w:val="24"/>
                <w:lang w:bidi="ar-SA"/>
              </w:rPr>
            </w:pPr>
            <w:r>
              <w:rPr>
                <w:rFonts w:hint="eastAsia" w:ascii="宋体"/>
                <w:color w:val="000000"/>
                <w:sz w:val="24"/>
                <w:szCs w:val="24"/>
              </w:rPr>
              <w:t>自流平砂浆找平、防尘漆、25mm橡塑保温板粘贴、0.8mm镀锌板保护、铆接。</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olor w:val="000000"/>
                <w:sz w:val="24"/>
                <w:szCs w:val="24"/>
              </w:rPr>
              <w:t xml:space="preserve">13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olor w:val="000000"/>
                <w:sz w:val="24"/>
                <w:szCs w:val="24"/>
              </w:rPr>
              <w:t>m</w:t>
            </w:r>
            <w:r>
              <w:rPr>
                <w:rFonts w:hint="eastAsia" w:ascii="宋体"/>
                <w:color w:val="000000"/>
                <w:sz w:val="24"/>
                <w:szCs w:val="24"/>
                <w:vertAlign w:val="superscript"/>
              </w:rPr>
              <w:t>2</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olor w:val="000000"/>
                <w:sz w:val="24"/>
                <w:szCs w:val="24"/>
              </w:rPr>
              <w:t xml:space="preserve">5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olor w:val="000000"/>
                <w:sz w:val="24"/>
                <w:szCs w:val="24"/>
              </w:rPr>
              <w:t>铺设防静电瓷砖</w:t>
            </w:r>
          </w:p>
        </w:tc>
        <w:tc>
          <w:tcPr>
            <w:tcW w:w="5413" w:type="dxa"/>
            <w:noWrap w:val="0"/>
            <w:vAlign w:val="center"/>
          </w:tcPr>
          <w:p>
            <w:pPr>
              <w:widowControl/>
              <w:jc w:val="left"/>
              <w:rPr>
                <w:rFonts w:hint="eastAsia" w:ascii="宋体" w:cs="宋体"/>
                <w:color w:val="000000"/>
                <w:kern w:val="0"/>
                <w:sz w:val="24"/>
                <w:szCs w:val="24"/>
                <w:lang w:bidi="ar-SA"/>
              </w:rPr>
            </w:pPr>
            <w:r>
              <w:rPr>
                <w:rFonts w:hint="eastAsia" w:ascii="宋体"/>
                <w:color w:val="000000"/>
                <w:sz w:val="24"/>
                <w:szCs w:val="24"/>
              </w:rPr>
              <w:t>瓷砖面防静电，无边型，静态承重大于500kg，含配套支撑件。325水泥、中沙+人工费</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olor w:val="000000"/>
                <w:sz w:val="24"/>
                <w:szCs w:val="24"/>
              </w:rPr>
              <w:t xml:space="preserve">13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olor w:val="000000"/>
                <w:sz w:val="24"/>
                <w:szCs w:val="24"/>
              </w:rPr>
              <w:t>m</w:t>
            </w:r>
            <w:r>
              <w:rPr>
                <w:rFonts w:hint="eastAsia" w:ascii="宋体"/>
                <w:color w:val="000000"/>
                <w:sz w:val="24"/>
                <w:szCs w:val="24"/>
                <w:vertAlign w:val="superscript"/>
              </w:rPr>
              <w:t>2</w:t>
            </w:r>
          </w:p>
        </w:tc>
        <w:tc>
          <w:tcPr>
            <w:tcW w:w="1590" w:type="dxa"/>
            <w:noWrap w:val="0"/>
            <w:vAlign w:val="center"/>
          </w:tcPr>
          <w:p>
            <w:pPr>
              <w:widowControl/>
              <w:jc w:val="left"/>
              <w:rPr>
                <w:rFonts w:hint="eastAsia" w:ascii="宋体" w:cs="宋体"/>
                <w:color w:val="000000"/>
                <w:kern w:val="0"/>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olor w:val="000000"/>
                <w:sz w:val="24"/>
                <w:szCs w:val="24"/>
              </w:rPr>
              <w:t xml:space="preserve">6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olor w:val="000000"/>
                <w:sz w:val="24"/>
                <w:szCs w:val="24"/>
              </w:rPr>
              <w:t>工地日常垃圾清理</w:t>
            </w:r>
          </w:p>
        </w:tc>
        <w:tc>
          <w:tcPr>
            <w:tcW w:w="5413" w:type="dxa"/>
            <w:noWrap w:val="0"/>
            <w:vAlign w:val="center"/>
          </w:tcPr>
          <w:p>
            <w:pPr>
              <w:widowControl/>
              <w:jc w:val="left"/>
              <w:rPr>
                <w:rFonts w:hint="eastAsia" w:ascii="宋体" w:cs="宋体"/>
                <w:color w:val="000000"/>
                <w:kern w:val="0"/>
                <w:sz w:val="24"/>
                <w:szCs w:val="24"/>
                <w:lang w:bidi="ar-SA"/>
              </w:rPr>
            </w:pPr>
            <w:r>
              <w:rPr>
                <w:rFonts w:hint="eastAsia" w:ascii="宋体"/>
                <w:color w:val="000000"/>
                <w:sz w:val="24"/>
                <w:szCs w:val="24"/>
              </w:rPr>
              <w:t>工地现场施工垃圾清理、堆放、搬运下楼指定地点</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olor w:val="000000"/>
                <w:sz w:val="24"/>
                <w:szCs w:val="24"/>
              </w:rPr>
              <w:t xml:space="preserve">13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olor w:val="000000"/>
                <w:sz w:val="24"/>
                <w:szCs w:val="24"/>
              </w:rPr>
              <w:t>m</w:t>
            </w:r>
            <w:r>
              <w:rPr>
                <w:rFonts w:hint="eastAsia" w:ascii="宋体"/>
                <w:color w:val="000000"/>
                <w:sz w:val="24"/>
                <w:szCs w:val="24"/>
                <w:vertAlign w:val="superscript"/>
              </w:rPr>
              <w:t>2</w:t>
            </w:r>
          </w:p>
        </w:tc>
        <w:tc>
          <w:tcPr>
            <w:tcW w:w="1590" w:type="dxa"/>
            <w:noWrap w:val="0"/>
            <w:vAlign w:val="center"/>
          </w:tcPr>
          <w:p>
            <w:pPr>
              <w:widowControl/>
              <w:jc w:val="left"/>
              <w:rPr>
                <w:rFonts w:hint="eastAsia" w:ascii="宋体" w:cs="宋体"/>
                <w:color w:val="000000"/>
                <w:kern w:val="0"/>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olor w:val="000000"/>
                <w:sz w:val="24"/>
                <w:szCs w:val="24"/>
              </w:rPr>
              <w:t xml:space="preserve">7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olor w:val="000000"/>
                <w:sz w:val="24"/>
                <w:szCs w:val="24"/>
              </w:rPr>
              <w:t>材料室内运输上楼搬运费</w:t>
            </w:r>
          </w:p>
        </w:tc>
        <w:tc>
          <w:tcPr>
            <w:tcW w:w="5413" w:type="dxa"/>
            <w:noWrap w:val="0"/>
            <w:vAlign w:val="center"/>
          </w:tcPr>
          <w:p>
            <w:pPr>
              <w:widowControl/>
              <w:jc w:val="left"/>
              <w:rPr>
                <w:rFonts w:hint="eastAsia" w:ascii="宋体" w:cs="宋体"/>
                <w:color w:val="000000"/>
                <w:kern w:val="0"/>
                <w:sz w:val="24"/>
                <w:szCs w:val="24"/>
                <w:lang w:bidi="ar-SA"/>
              </w:rPr>
            </w:pPr>
            <w:r>
              <w:rPr>
                <w:rFonts w:hint="eastAsia" w:ascii="宋体"/>
                <w:color w:val="000000"/>
                <w:sz w:val="24"/>
                <w:szCs w:val="24"/>
              </w:rPr>
              <w:t>2楼</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olor w:val="000000"/>
                <w:sz w:val="24"/>
                <w:szCs w:val="24"/>
              </w:rPr>
              <w:t xml:space="preserve">13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olor w:val="000000"/>
                <w:sz w:val="24"/>
                <w:szCs w:val="24"/>
              </w:rPr>
              <w:t>m</w:t>
            </w:r>
            <w:r>
              <w:rPr>
                <w:rFonts w:hint="eastAsia" w:ascii="宋体"/>
                <w:color w:val="000000"/>
                <w:sz w:val="24"/>
                <w:szCs w:val="24"/>
                <w:vertAlign w:val="superscript"/>
              </w:rPr>
              <w:t>2</w:t>
            </w:r>
          </w:p>
        </w:tc>
        <w:tc>
          <w:tcPr>
            <w:tcW w:w="1590" w:type="dxa"/>
            <w:noWrap w:val="0"/>
            <w:vAlign w:val="center"/>
          </w:tcPr>
          <w:p>
            <w:pPr>
              <w:widowControl/>
              <w:jc w:val="left"/>
              <w:rPr>
                <w:rFonts w:hint="eastAsia" w:ascii="宋体" w:cs="宋体"/>
                <w:color w:val="000000"/>
                <w:kern w:val="0"/>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olor w:val="000000"/>
                <w:sz w:val="24"/>
                <w:szCs w:val="24"/>
              </w:rPr>
              <w:t xml:space="preserve">8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olor w:val="000000"/>
                <w:sz w:val="24"/>
                <w:szCs w:val="24"/>
              </w:rPr>
              <w:t>完工后保洁费</w:t>
            </w:r>
          </w:p>
        </w:tc>
        <w:tc>
          <w:tcPr>
            <w:tcW w:w="5413"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val="en-US" w:eastAsia="zh-CN" w:bidi="ar-SA"/>
              </w:rPr>
              <w:t>全面干净卫生，无灰尘、无白色垃圾、</w:t>
            </w:r>
            <w:r>
              <w:rPr>
                <w:rFonts w:hint="eastAsia" w:ascii="宋体" w:cs="宋体"/>
                <w:color w:val="000000"/>
                <w:kern w:val="0"/>
                <w:sz w:val="24"/>
                <w:szCs w:val="24"/>
                <w:lang w:bidi="ar-SA"/>
              </w:rPr>
              <w:t>门窗干净明亮</w:t>
            </w:r>
            <w:r>
              <w:rPr>
                <w:rFonts w:hint="eastAsia" w:ascii="宋体" w:cs="宋体"/>
                <w:color w:val="000000"/>
                <w:kern w:val="0"/>
                <w:sz w:val="24"/>
                <w:szCs w:val="24"/>
                <w:lang w:eastAsia="zh-CN" w:bidi="ar-SA"/>
              </w:rPr>
              <w:t>、</w:t>
            </w:r>
            <w:r>
              <w:rPr>
                <w:rFonts w:hint="eastAsia" w:ascii="宋体" w:cs="宋体"/>
                <w:color w:val="000000"/>
                <w:kern w:val="0"/>
                <w:sz w:val="24"/>
                <w:szCs w:val="24"/>
                <w:lang w:bidi="ar-SA"/>
              </w:rPr>
              <w:t>墙面瓷砖干净，无脏污。</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olor w:val="000000"/>
                <w:sz w:val="24"/>
                <w:szCs w:val="24"/>
              </w:rPr>
              <w:t xml:space="preserve">13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olor w:val="000000"/>
                <w:sz w:val="24"/>
                <w:szCs w:val="24"/>
              </w:rPr>
              <w:t>m</w:t>
            </w:r>
            <w:r>
              <w:rPr>
                <w:rFonts w:hint="eastAsia" w:ascii="宋体"/>
                <w:color w:val="000000"/>
                <w:sz w:val="24"/>
                <w:szCs w:val="24"/>
                <w:vertAlign w:val="superscript"/>
              </w:rPr>
              <w:t>2</w:t>
            </w:r>
          </w:p>
        </w:tc>
        <w:tc>
          <w:tcPr>
            <w:tcW w:w="1590" w:type="dxa"/>
            <w:noWrap w:val="0"/>
            <w:vAlign w:val="center"/>
          </w:tcPr>
          <w:p>
            <w:pPr>
              <w:widowControl/>
              <w:jc w:val="left"/>
              <w:rPr>
                <w:rFonts w:hint="eastAsia" w:ascii="宋体" w:cs="宋体"/>
                <w:color w:val="000000"/>
                <w:kern w:val="0"/>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olor w:val="000000"/>
                <w:sz w:val="24"/>
                <w:szCs w:val="24"/>
              </w:rPr>
              <w:t xml:space="preserve">9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olor w:val="000000"/>
                <w:sz w:val="24"/>
                <w:szCs w:val="24"/>
              </w:rPr>
              <w:t>角钢支架</w:t>
            </w:r>
          </w:p>
        </w:tc>
        <w:tc>
          <w:tcPr>
            <w:tcW w:w="5413" w:type="dxa"/>
            <w:noWrap w:val="0"/>
            <w:vAlign w:val="center"/>
          </w:tcPr>
          <w:p>
            <w:pPr>
              <w:widowControl/>
              <w:jc w:val="left"/>
              <w:rPr>
                <w:rFonts w:hint="eastAsia" w:ascii="宋体" w:cs="宋体"/>
                <w:color w:val="000000"/>
                <w:kern w:val="0"/>
                <w:sz w:val="24"/>
                <w:szCs w:val="24"/>
                <w:lang w:bidi="ar-SA"/>
              </w:rPr>
            </w:pPr>
            <w:r>
              <w:rPr>
                <w:rFonts w:hint="eastAsia" w:ascii="宋体"/>
                <w:color w:val="000000"/>
                <w:sz w:val="24"/>
                <w:szCs w:val="24"/>
              </w:rPr>
              <w:t>定制，静电地板四周角钢支架，30*3角钢，T字形支撑。</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olor w:val="000000"/>
                <w:sz w:val="24"/>
                <w:szCs w:val="24"/>
              </w:rPr>
              <w:t xml:space="preserve">10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olor w:val="000000"/>
                <w:sz w:val="24"/>
                <w:szCs w:val="24"/>
              </w:rPr>
              <w:t>m</w:t>
            </w:r>
          </w:p>
        </w:tc>
        <w:tc>
          <w:tcPr>
            <w:tcW w:w="1590" w:type="dxa"/>
            <w:noWrap w:val="0"/>
            <w:vAlign w:val="center"/>
          </w:tcPr>
          <w:p>
            <w:pPr>
              <w:widowControl/>
              <w:jc w:val="left"/>
              <w:rPr>
                <w:rFonts w:hint="eastAsia" w:ascii="宋体" w:cs="宋体"/>
                <w:color w:val="000000"/>
                <w:kern w:val="0"/>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olor w:val="000000"/>
                <w:sz w:val="24"/>
                <w:szCs w:val="24"/>
              </w:rPr>
              <w:t xml:space="preserve">10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olor w:val="000000"/>
                <w:sz w:val="24"/>
                <w:szCs w:val="24"/>
              </w:rPr>
              <w:t>设备底座</w:t>
            </w:r>
          </w:p>
        </w:tc>
        <w:tc>
          <w:tcPr>
            <w:tcW w:w="5413" w:type="dxa"/>
            <w:noWrap w:val="0"/>
            <w:vAlign w:val="center"/>
          </w:tcPr>
          <w:p>
            <w:pPr>
              <w:widowControl/>
              <w:jc w:val="left"/>
              <w:rPr>
                <w:rFonts w:hint="eastAsia" w:ascii="宋体" w:cs="宋体"/>
                <w:color w:val="000000"/>
                <w:kern w:val="0"/>
                <w:sz w:val="24"/>
                <w:szCs w:val="24"/>
                <w:lang w:bidi="ar-SA"/>
              </w:rPr>
            </w:pPr>
            <w:r>
              <w:rPr>
                <w:rFonts w:hint="eastAsia" w:ascii="宋体"/>
                <w:color w:val="000000"/>
                <w:sz w:val="24"/>
                <w:szCs w:val="24"/>
              </w:rPr>
              <w:t>承重机柜加固，主材采用工字钢10-63c，现场定制焊接。</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olor w:val="000000"/>
                <w:sz w:val="24"/>
                <w:szCs w:val="24"/>
              </w:rPr>
              <w:t xml:space="preserve">1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olor w:val="000000"/>
                <w:sz w:val="24"/>
                <w:szCs w:val="24"/>
              </w:rPr>
              <w:t>项</w:t>
            </w:r>
          </w:p>
        </w:tc>
        <w:tc>
          <w:tcPr>
            <w:tcW w:w="1590" w:type="dxa"/>
            <w:noWrap w:val="0"/>
            <w:vAlign w:val="center"/>
          </w:tcPr>
          <w:p>
            <w:pPr>
              <w:widowControl/>
              <w:jc w:val="left"/>
              <w:rPr>
                <w:rFonts w:hint="eastAsia" w:ascii="宋体" w:cs="宋体"/>
                <w:color w:val="000000"/>
                <w:kern w:val="0"/>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076" w:type="dxa"/>
            <w:gridSpan w:val="3"/>
            <w:noWrap w:val="0"/>
            <w:vAlign w:val="center"/>
          </w:tcPr>
          <w:p>
            <w:pPr>
              <w:widowControl/>
              <w:jc w:val="left"/>
              <w:rPr>
                <w:rFonts w:hint="eastAsia" w:ascii="宋体" w:cs="宋体"/>
                <w:b/>
                <w:bCs/>
                <w:color w:val="000000"/>
                <w:kern w:val="0"/>
                <w:sz w:val="24"/>
                <w:szCs w:val="24"/>
                <w:lang w:bidi="ar-SA"/>
              </w:rPr>
            </w:pPr>
            <w:r>
              <w:rPr>
                <w:rFonts w:hint="eastAsia" w:ascii="宋体" w:cs="宋体"/>
                <w:b/>
                <w:bCs/>
                <w:color w:val="000000"/>
                <w:kern w:val="0"/>
                <w:sz w:val="24"/>
                <w:szCs w:val="24"/>
                <w:lang w:bidi="ar-SA"/>
              </w:rPr>
              <w:t>四）网络设备</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w:t>
            </w:r>
          </w:p>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w:t>
            </w:r>
          </w:p>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核心交换机</w:t>
            </w:r>
          </w:p>
        </w:tc>
        <w:tc>
          <w:tcPr>
            <w:tcW w:w="5413" w:type="dxa"/>
            <w:noWrap w:val="0"/>
            <w:vAlign w:val="center"/>
          </w:tcPr>
          <w:p>
            <w:pPr>
              <w:widowControl/>
              <w:jc w:val="left"/>
              <w:rPr>
                <w:color w:val="000000"/>
                <w:sz w:val="24"/>
                <w:szCs w:val="24"/>
              </w:rPr>
            </w:pPr>
            <w:r>
              <w:rPr>
                <w:rFonts w:hint="eastAsia"/>
                <w:color w:val="000000"/>
                <w:sz w:val="24"/>
                <w:szCs w:val="24"/>
              </w:rPr>
              <w:t xml:space="preserve">1、交换容量≥2.56Tbps，包转发率570Mpps，配置20个1G/10G SFP+光口，4个10G/25G SFP28光口，2个40G QSFP+光口，2个模块化电源插槽，2个模块化风扇插槽，出厂标配2个风扇模块；                                             </w:t>
            </w:r>
          </w:p>
          <w:p>
            <w:pPr>
              <w:widowControl/>
              <w:jc w:val="left"/>
              <w:rPr>
                <w:color w:val="000000"/>
                <w:sz w:val="24"/>
                <w:szCs w:val="24"/>
              </w:rPr>
            </w:pPr>
            <w:r>
              <w:rPr>
                <w:rFonts w:hint="eastAsia"/>
                <w:color w:val="000000"/>
                <w:sz w:val="24"/>
                <w:szCs w:val="24"/>
              </w:rPr>
              <w:t>2、支持端口镜像功能，支持多对一端口镜像及一对多端口镜像，支持跨交换机的远程端口镜像功能 RSPAN，支持聚合链路的镜像，持多虚一技术，可将多台物理设备虚拟化为一台逻辑设备统一管理，支持硬件层级双boot，采用两个FLASH芯片存储boot软件（系统引导程序），实现硬件级boot冗余备份，避免因FLASH芯片故障导致交换机无法启动；</w:t>
            </w:r>
          </w:p>
          <w:p>
            <w:pPr>
              <w:widowControl/>
              <w:jc w:val="left"/>
              <w:rPr>
                <w:color w:val="000000"/>
                <w:sz w:val="24"/>
                <w:szCs w:val="24"/>
              </w:rPr>
            </w:pPr>
            <w:r>
              <w:rPr>
                <w:rFonts w:hint="eastAsia"/>
                <w:color w:val="000000"/>
                <w:sz w:val="24"/>
                <w:szCs w:val="24"/>
              </w:rPr>
              <w:t>3、设备支持故障隔离技术，用于监测光模块状态，一旦出现故障，可马上识别、并将故障模块隔离，确保不影响其它端口和整机的正常运行，更换模块后该端口也可马上恢复正常工作；</w:t>
            </w:r>
          </w:p>
          <w:p>
            <w:pPr>
              <w:widowControl/>
              <w:jc w:val="left"/>
              <w:rPr>
                <w:rFonts w:hint="eastAsia" w:ascii="宋体" w:cs="宋体"/>
                <w:color w:val="000000"/>
                <w:kern w:val="0"/>
                <w:sz w:val="24"/>
                <w:szCs w:val="24"/>
                <w:lang w:bidi="ar-SA"/>
              </w:rPr>
            </w:pPr>
            <w:r>
              <w:rPr>
                <w:rFonts w:hint="eastAsia"/>
                <w:color w:val="000000"/>
                <w:sz w:val="24"/>
                <w:szCs w:val="24"/>
              </w:rPr>
              <w:t>4、支持所有端口在64字节下100%线速，支持支持同时开启802.1X或WEB认证，CPP、ACL、防ARP欺骗等功能不会相互冲突、制约，支持专门基础网络保护机制，能够限制用户向网络中发送数据包的速率，对有攻击行为的用户进行隔离，保证设备和整网的安全稳定运行。</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4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台</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2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防火墙</w:t>
            </w:r>
          </w:p>
        </w:tc>
        <w:tc>
          <w:tcPr>
            <w:tcW w:w="5413" w:type="dxa"/>
            <w:noWrap w:val="0"/>
            <w:vAlign w:val="center"/>
          </w:tcPr>
          <w:p>
            <w:pPr>
              <w:widowControl/>
              <w:jc w:val="left"/>
              <w:rPr>
                <w:rFonts w:hint="eastAsia" w:ascii="宋体" w:cs="宋体"/>
                <w:color w:val="000000"/>
                <w:kern w:val="0"/>
                <w:sz w:val="24"/>
                <w:szCs w:val="24"/>
                <w:lang w:bidi="ar-SA"/>
              </w:rPr>
            </w:pPr>
            <w:r>
              <w:rPr>
                <w:rFonts w:hint="eastAsia"/>
                <w:color w:val="000000"/>
                <w:sz w:val="24"/>
                <w:szCs w:val="24"/>
              </w:rPr>
              <w:t>1、产品应用多核并行处理架构，并采用</w:t>
            </w:r>
            <w:r>
              <w:rPr>
                <w:rFonts w:hint="eastAsia"/>
                <w:color w:val="000000"/>
                <w:sz w:val="24"/>
                <w:szCs w:val="24"/>
                <w:lang w:eastAsia="zh-CN"/>
              </w:rPr>
              <w:t>主流</w:t>
            </w:r>
            <w:r>
              <w:rPr>
                <w:rFonts w:hint="eastAsia"/>
                <w:color w:val="000000"/>
                <w:sz w:val="24"/>
                <w:szCs w:val="24"/>
              </w:rPr>
              <w:t>处理器和</w:t>
            </w:r>
            <w:r>
              <w:rPr>
                <w:rFonts w:hint="eastAsia"/>
                <w:color w:val="000000"/>
                <w:sz w:val="24"/>
                <w:szCs w:val="24"/>
                <w:lang w:eastAsia="zh-CN"/>
              </w:rPr>
              <w:t>主流</w:t>
            </w:r>
            <w:r>
              <w:rPr>
                <w:rFonts w:hint="eastAsia"/>
                <w:color w:val="000000"/>
                <w:sz w:val="24"/>
                <w:szCs w:val="24"/>
              </w:rPr>
              <w:t>操作系统，接口≥6个10/100/1000M以太网电口，≥4个10/100/1000M SFP口，单电源，1U机箱；</w:t>
            </w:r>
            <w:r>
              <w:rPr>
                <w:rFonts w:hint="eastAsia"/>
                <w:color w:val="000000"/>
                <w:sz w:val="24"/>
                <w:szCs w:val="24"/>
              </w:rPr>
              <w:br w:type="textWrapping"/>
            </w:r>
            <w:r>
              <w:rPr>
                <w:rFonts w:hint="eastAsia"/>
                <w:color w:val="000000"/>
                <w:sz w:val="24"/>
                <w:szCs w:val="24"/>
              </w:rPr>
              <w:t>2、网络层吞吐量≥ 8Gbps，应用层吞吐量≥ 1.6Gbps，并发连接数≥250万，每秒新建连接数≥10万；</w:t>
            </w:r>
            <w:r>
              <w:rPr>
                <w:rFonts w:hint="eastAsia"/>
                <w:color w:val="000000"/>
                <w:sz w:val="24"/>
                <w:szCs w:val="24"/>
              </w:rPr>
              <w:br w:type="textWrapping"/>
            </w:r>
            <w:r>
              <w:rPr>
                <w:rFonts w:hint="eastAsia"/>
                <w:color w:val="000000"/>
                <w:sz w:val="24"/>
                <w:szCs w:val="24"/>
              </w:rPr>
              <w:t>3、产品支持链路健康检查功能，支持基于多种协议对链路可用性进行探测，探测协议至少包括DNS解析、ARP探测和PING方式；</w:t>
            </w:r>
            <w:r>
              <w:rPr>
                <w:rFonts w:hint="eastAsia"/>
                <w:color w:val="000000"/>
                <w:sz w:val="24"/>
                <w:szCs w:val="24"/>
              </w:rPr>
              <w:br w:type="textWrapping"/>
            </w:r>
            <w:r>
              <w:rPr>
                <w:rFonts w:hint="eastAsia"/>
                <w:color w:val="000000"/>
                <w:sz w:val="24"/>
                <w:szCs w:val="24"/>
              </w:rPr>
              <w:t>4、产品内置应用特征识别库，支持不少于2980种应用规则，支持对游戏、下载工具、IM聊天工具、视频软件、股票软件等类型应用进行检测与控制；</w:t>
            </w:r>
            <w:r>
              <w:rPr>
                <w:rFonts w:hint="eastAsia"/>
                <w:color w:val="000000"/>
                <w:sz w:val="24"/>
                <w:szCs w:val="24"/>
              </w:rPr>
              <w:br w:type="textWrapping"/>
            </w:r>
            <w:r>
              <w:rPr>
                <w:rFonts w:hint="eastAsia"/>
                <w:color w:val="000000"/>
                <w:sz w:val="24"/>
                <w:szCs w:val="24"/>
              </w:rPr>
              <w:t>5、产品具备至少对ARP Flood、ICMP Flood、SYN Flood、DNS Flood、UDP Flood等泛洪类攻击防护的能力，并支持IP地址扫描和端口扫描攻击防护；</w:t>
            </w:r>
            <w:r>
              <w:rPr>
                <w:rFonts w:hint="eastAsia"/>
                <w:color w:val="000000"/>
                <w:sz w:val="24"/>
                <w:szCs w:val="24"/>
              </w:rPr>
              <w:br w:type="textWrapping"/>
            </w:r>
            <w:r>
              <w:rPr>
                <w:rFonts w:hint="eastAsia"/>
                <w:color w:val="000000"/>
                <w:sz w:val="24"/>
                <w:szCs w:val="24"/>
              </w:rPr>
              <w:t>6、产品支持对SMTP、HTTP、FTP、SMB、POP3、HTTPS、IMAP等协议进行病毒防御；</w:t>
            </w:r>
            <w:r>
              <w:rPr>
                <w:rFonts w:hint="eastAsia"/>
                <w:color w:val="000000"/>
                <w:sz w:val="24"/>
                <w:szCs w:val="24"/>
              </w:rPr>
              <w:br w:type="textWrapping"/>
            </w:r>
            <w:r>
              <w:rPr>
                <w:rFonts w:hint="eastAsia"/>
                <w:color w:val="000000"/>
                <w:sz w:val="24"/>
                <w:szCs w:val="24"/>
              </w:rPr>
              <w:t>7、产品支持对多重压缩文件的病毒检测能力，支持不小于12层压缩文件病毒检测与处置；</w:t>
            </w:r>
            <w:r>
              <w:rPr>
                <w:rFonts w:hint="eastAsia"/>
                <w:color w:val="000000"/>
                <w:sz w:val="24"/>
                <w:szCs w:val="24"/>
              </w:rPr>
              <w:br w:type="textWrapping"/>
            </w:r>
            <w:r>
              <w:rPr>
                <w:rFonts w:hint="eastAsia"/>
                <w:color w:val="000000"/>
                <w:sz w:val="24"/>
                <w:szCs w:val="24"/>
              </w:rPr>
              <w:t>8、产品具备入侵防御检测引擎，支持对各类漏洞利用攻击进行检测与防护，产品支持超过7200种特征规则数量；</w:t>
            </w:r>
            <w:r>
              <w:rPr>
                <w:rFonts w:hint="eastAsia"/>
                <w:color w:val="000000"/>
                <w:sz w:val="24"/>
                <w:szCs w:val="24"/>
              </w:rPr>
              <w:br w:type="textWrapping"/>
            </w:r>
            <w:r>
              <w:rPr>
                <w:rFonts w:hint="eastAsia"/>
                <w:color w:val="000000"/>
                <w:sz w:val="24"/>
                <w:szCs w:val="24"/>
              </w:rPr>
              <w:t>9、产品具备Web应用攻击检测引擎，支持文件包含攻击、抵御注入式攻击（包含SQL注入、系统命令注入）、信息泄露攻击、跨站脚本（XSS）、网站扫描、WEBSHELL后门攻击、跨站请求伪造、目录遍历攻击、WEB整站系统漏洞等应用层攻击行为，安全特征规则超过3320种；</w:t>
            </w:r>
            <w:r>
              <w:rPr>
                <w:rFonts w:hint="eastAsia"/>
                <w:color w:val="000000"/>
                <w:sz w:val="24"/>
                <w:szCs w:val="24"/>
              </w:rPr>
              <w:br w:type="textWrapping"/>
            </w:r>
            <w:r>
              <w:rPr>
                <w:rFonts w:hint="eastAsia"/>
                <w:color w:val="000000"/>
                <w:sz w:val="24"/>
                <w:szCs w:val="24"/>
              </w:rPr>
              <w:t>10、★具备识别与阻断外部扫描器发起的服务器恶意扫描行为，可对扫描器地址进行自定义封堵；（需提供公安部计算机信息系统安全产品质量监督检验中心、中国信息安全测评中心、中华人民共和国国家版权局、公安部信息安全产品检测中心之中任意一家检测机构出具关于“漏洞防扫描”的相关证书复印件）</w:t>
            </w:r>
            <w:r>
              <w:rPr>
                <w:rFonts w:hint="eastAsia"/>
                <w:color w:val="000000"/>
                <w:sz w:val="24"/>
                <w:szCs w:val="24"/>
              </w:rPr>
              <w:br w:type="textWrapping"/>
            </w:r>
            <w:r>
              <w:rPr>
                <w:rFonts w:hint="eastAsia"/>
                <w:color w:val="000000"/>
                <w:sz w:val="24"/>
                <w:szCs w:val="24"/>
              </w:rPr>
              <w:t>11、</w:t>
            </w:r>
            <w:r>
              <w:rPr>
                <w:rFonts w:hint="eastAsia"/>
                <w:color w:val="000000"/>
                <w:sz w:val="24"/>
                <w:szCs w:val="24"/>
                <w:highlight w:val="none"/>
              </w:rPr>
              <w:t>产品支持对HTTP异常请求协议检测和防护攻击，检测内容包含HTTP请求信息的方法及参数长度等。</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2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台</w:t>
            </w:r>
          </w:p>
        </w:tc>
        <w:tc>
          <w:tcPr>
            <w:tcW w:w="1590" w:type="dxa"/>
            <w:noWrap w:val="0"/>
            <w:vAlign w:val="center"/>
          </w:tcPr>
          <w:p>
            <w:pPr>
              <w:widowControl/>
              <w:jc w:val="left"/>
              <w:rPr>
                <w:rFonts w:hint="eastAsia" w:ascii="宋体" w:cs="宋体"/>
                <w:color w:val="000000"/>
                <w:kern w:val="0"/>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3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24口接入交换机</w:t>
            </w:r>
          </w:p>
        </w:tc>
        <w:tc>
          <w:tcPr>
            <w:tcW w:w="5413" w:type="dxa"/>
            <w:noWrap w:val="0"/>
            <w:vAlign w:val="center"/>
          </w:tcPr>
          <w:p>
            <w:pPr>
              <w:widowControl/>
              <w:jc w:val="left"/>
              <w:rPr>
                <w:rFonts w:hint="eastAsia" w:ascii="宋体" w:cs="宋体"/>
                <w:color w:val="000000"/>
                <w:kern w:val="0"/>
                <w:sz w:val="24"/>
                <w:szCs w:val="24"/>
                <w:lang w:bidi="ar-SA"/>
              </w:rPr>
            </w:pPr>
            <w:r>
              <w:rPr>
                <w:rFonts w:hint="eastAsia"/>
                <w:color w:val="000000"/>
                <w:sz w:val="24"/>
                <w:szCs w:val="24"/>
              </w:rPr>
              <w:t>1、交换容量336Gbps，包转发率51Mpps；                                                                                                                              2、24个10/100/1000M自适应电口,4个SFP光口；                                                                                                                    3、支持RIP，OSPF等路由协议；支持DHCP server；支持虚拟化；支持MACC云平台统一管理。</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4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台</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4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24口POE供电交换机</w:t>
            </w:r>
          </w:p>
        </w:tc>
        <w:tc>
          <w:tcPr>
            <w:tcW w:w="5413" w:type="dxa"/>
            <w:noWrap w:val="0"/>
            <w:vAlign w:val="center"/>
          </w:tcPr>
          <w:p>
            <w:pPr>
              <w:widowControl/>
              <w:jc w:val="left"/>
              <w:rPr>
                <w:rFonts w:hint="eastAsia" w:ascii="宋体" w:cs="宋体"/>
                <w:color w:val="000000"/>
                <w:kern w:val="0"/>
                <w:sz w:val="24"/>
                <w:szCs w:val="24"/>
                <w:lang w:bidi="ar-SA"/>
              </w:rPr>
            </w:pPr>
            <w:r>
              <w:rPr>
                <w:rFonts w:hint="eastAsia"/>
                <w:color w:val="000000"/>
                <w:sz w:val="24"/>
                <w:szCs w:val="24"/>
              </w:rPr>
              <w:t>1、交换容量336Gbps，包转发率51Mpps/                                                                                                                                      2、24个10/100/1000M自适应电口,支持PoE/PoE+，其中1-4口支持HPoE），                                                                               3、4个SFP光口，PoE总功率370W；支持RIP，OSPF等路由协议；支持DHCP server；支持虚拟化；支持MACC云平台统一管理。</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4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台</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5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无线AP</w:t>
            </w:r>
          </w:p>
        </w:tc>
        <w:tc>
          <w:tcPr>
            <w:tcW w:w="5413" w:type="dxa"/>
            <w:noWrap w:val="0"/>
            <w:vAlign w:val="center"/>
          </w:tcPr>
          <w:p>
            <w:pPr>
              <w:widowControl/>
              <w:jc w:val="left"/>
              <w:rPr>
                <w:rFonts w:hint="eastAsia" w:ascii="宋体" w:cs="宋体"/>
                <w:color w:val="000000"/>
                <w:kern w:val="0"/>
                <w:sz w:val="24"/>
                <w:szCs w:val="24"/>
                <w:lang w:bidi="ar-SA"/>
              </w:rPr>
            </w:pPr>
            <w:r>
              <w:rPr>
                <w:rFonts w:hint="eastAsia"/>
                <w:color w:val="000000"/>
                <w:sz w:val="24"/>
                <w:szCs w:val="24"/>
              </w:rPr>
              <w:t>高密度802.11ac Wave2室内无线接入点，三路双频，2*2MIMO，2.4G最大400Mbps，5G最大867Mbps，整机最大支持6条空间流，整机最高接入速率2.6Gbps，可支持802.11a/b/g/n和802.11ac同时工作，胖/瘦模式切换、PoE+供电和本地供电（PoE+和本地电源适配器需单独选购）</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12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台</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6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无线控制器</w:t>
            </w:r>
          </w:p>
        </w:tc>
        <w:tc>
          <w:tcPr>
            <w:tcW w:w="5413" w:type="dxa"/>
            <w:noWrap w:val="0"/>
            <w:vAlign w:val="center"/>
          </w:tcPr>
          <w:p>
            <w:pPr>
              <w:widowControl/>
              <w:jc w:val="left"/>
              <w:rPr>
                <w:rFonts w:hint="eastAsia" w:ascii="宋体" w:cs="宋体"/>
                <w:color w:val="000000"/>
                <w:kern w:val="0"/>
                <w:sz w:val="24"/>
                <w:szCs w:val="24"/>
                <w:lang w:bidi="ar-SA"/>
              </w:rPr>
            </w:pPr>
            <w:r>
              <w:rPr>
                <w:rFonts w:hint="eastAsia"/>
                <w:color w:val="000000"/>
                <w:sz w:val="24"/>
                <w:szCs w:val="24"/>
              </w:rPr>
              <w:t>6个10/100/1000M自适应电口，2个SFP光电复用接口，8Gbps无线转发性能，默认管理64个最大管理512个RAP系列AP（仅支持RAP面板AP翻倍管理），支持二三无缝漫游</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台</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7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光模块</w:t>
            </w:r>
          </w:p>
        </w:tc>
        <w:tc>
          <w:tcPr>
            <w:tcW w:w="5413"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LC接口模块（850nm），300米，多模，适用于SFP接口。</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36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个</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8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光纤跳线</w:t>
            </w:r>
          </w:p>
        </w:tc>
        <w:tc>
          <w:tcPr>
            <w:tcW w:w="5413"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多模。</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18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对</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trPr>
        <w:tc>
          <w:tcPr>
            <w:tcW w:w="7076" w:type="dxa"/>
            <w:gridSpan w:val="3"/>
            <w:noWrap w:val="0"/>
            <w:vAlign w:val="center"/>
          </w:tcPr>
          <w:p>
            <w:pPr>
              <w:widowControl/>
              <w:jc w:val="left"/>
              <w:rPr>
                <w:rFonts w:hint="eastAsia" w:ascii="宋体" w:cs="宋体"/>
                <w:b/>
                <w:bCs/>
                <w:color w:val="000000"/>
                <w:kern w:val="0"/>
                <w:sz w:val="24"/>
                <w:szCs w:val="24"/>
                <w:lang w:bidi="ar-SA"/>
              </w:rPr>
            </w:pPr>
            <w:r>
              <w:rPr>
                <w:rFonts w:hint="eastAsia" w:ascii="宋体" w:cs="宋体"/>
                <w:b/>
                <w:bCs/>
                <w:color w:val="000000"/>
                <w:kern w:val="0"/>
                <w:sz w:val="24"/>
                <w:szCs w:val="24"/>
                <w:lang w:bidi="ar-SA"/>
              </w:rPr>
              <w:t>五）机柜系统</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w:t>
            </w:r>
          </w:p>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w:t>
            </w:r>
          </w:p>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一体化机柜系统</w:t>
            </w:r>
          </w:p>
        </w:tc>
        <w:tc>
          <w:tcPr>
            <w:tcW w:w="5413" w:type="dxa"/>
            <w:noWrap w:val="0"/>
            <w:vAlign w:val="center"/>
          </w:tcPr>
          <w:p>
            <w:pPr>
              <w:widowControl/>
              <w:jc w:val="left"/>
              <w:rPr>
                <w:rFonts w:hint="eastAsia" w:ascii="宋体" w:cs="宋体"/>
                <w:color w:val="000000"/>
                <w:kern w:val="0"/>
                <w:sz w:val="24"/>
                <w:szCs w:val="24"/>
                <w:lang w:bidi="ar-SA"/>
              </w:rPr>
            </w:pPr>
            <w:r>
              <w:rPr>
                <w:rFonts w:hint="eastAsia"/>
                <w:color w:val="000000"/>
                <w:sz w:val="24"/>
                <w:szCs w:val="24"/>
              </w:rPr>
              <w:t>1、综合柜1.RAL9005亚光细砂纹，600*1200*2000,42U, 标准19"柜体；</w:t>
            </w:r>
            <w:r>
              <w:rPr>
                <w:rFonts w:hint="eastAsia"/>
                <w:color w:val="000000"/>
                <w:sz w:val="24"/>
                <w:szCs w:val="24"/>
              </w:rPr>
              <w:br w:type="textWrapping"/>
            </w:r>
            <w:r>
              <w:rPr>
                <w:rFonts w:hint="eastAsia"/>
                <w:color w:val="000000"/>
                <w:sz w:val="24"/>
                <w:szCs w:val="24"/>
              </w:rPr>
              <w:t>2、前门单开玻璃门含环控屏盒，后门双开铁板门，前后门配接地线三条，无侧门；</w:t>
            </w:r>
            <w:r>
              <w:rPr>
                <w:rFonts w:hint="eastAsia"/>
                <w:color w:val="000000"/>
                <w:sz w:val="24"/>
                <w:szCs w:val="24"/>
              </w:rPr>
              <w:br w:type="textWrapping"/>
            </w:r>
            <w:r>
              <w:rPr>
                <w:rFonts w:hint="eastAsia"/>
                <w:color w:val="000000"/>
                <w:sz w:val="24"/>
                <w:szCs w:val="24"/>
              </w:rPr>
              <w:t>3、顶部、左右侧配置挡风板，含顶底板(带密封毛刷)、弹开器、磁铁（电磁锁）、弹簧、铰链、密封条、保温棉、螺栓（外六角）、塑料堵头、4个支脚、4个脚轮等；</w:t>
            </w:r>
            <w:r>
              <w:rPr>
                <w:rFonts w:hint="eastAsia"/>
                <w:color w:val="000000"/>
                <w:sz w:val="24"/>
                <w:szCs w:val="24"/>
              </w:rPr>
              <w:br w:type="textWrapping"/>
            </w:r>
            <w:r>
              <w:rPr>
                <w:color w:val="000000"/>
                <w:sz w:val="24"/>
                <w:szCs w:val="24"/>
              </w:rPr>
              <w:t>4</w:t>
            </w:r>
            <w:r>
              <w:rPr>
                <w:rFonts w:hint="eastAsia"/>
                <w:color w:val="000000"/>
                <w:sz w:val="24"/>
                <w:szCs w:val="24"/>
              </w:rPr>
              <w:t>、顶部含白色灯管；含原件安装；</w:t>
            </w:r>
            <w:r>
              <w:rPr>
                <w:rFonts w:hint="eastAsia"/>
                <w:color w:val="000000"/>
                <w:sz w:val="24"/>
                <w:szCs w:val="24"/>
              </w:rPr>
              <w:br w:type="textWrapping"/>
            </w:r>
            <w:r>
              <w:rPr>
                <w:color w:val="000000"/>
                <w:sz w:val="24"/>
                <w:szCs w:val="24"/>
              </w:rPr>
              <w:t>5</w:t>
            </w:r>
            <w:r>
              <w:rPr>
                <w:rFonts w:hint="eastAsia"/>
                <w:color w:val="000000"/>
                <w:sz w:val="24"/>
                <w:szCs w:val="24"/>
              </w:rPr>
              <w:t>、2根60宽垂直走线板，2根65宽PDU固定板，木托盘+瓦楞纸包装。</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台</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2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顶部线槽</w:t>
            </w:r>
          </w:p>
        </w:tc>
        <w:tc>
          <w:tcPr>
            <w:tcW w:w="5413" w:type="dxa"/>
            <w:noWrap w:val="0"/>
            <w:vAlign w:val="center"/>
          </w:tcPr>
          <w:p>
            <w:pPr>
              <w:widowControl/>
              <w:jc w:val="left"/>
              <w:rPr>
                <w:rFonts w:hint="eastAsia" w:ascii="宋体" w:cs="宋体"/>
                <w:color w:val="000000"/>
                <w:kern w:val="0"/>
                <w:sz w:val="24"/>
                <w:szCs w:val="24"/>
                <w:lang w:bidi="ar-SA"/>
              </w:rPr>
            </w:pPr>
            <w:r>
              <w:rPr>
                <w:rFonts w:hint="eastAsia"/>
                <w:color w:val="000000"/>
                <w:sz w:val="24"/>
                <w:szCs w:val="24"/>
              </w:rPr>
              <w:t>黑色亚光细砂纹；宽度600的一体机机柜顶部的M型强弱电走线槽；材料为优质（SPCC）冷轧钢板,材质厚度：1.5mm，表面工艺和通道柜体一致</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6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个</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3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假面板</w:t>
            </w:r>
          </w:p>
        </w:tc>
        <w:tc>
          <w:tcPr>
            <w:tcW w:w="5413" w:type="dxa"/>
            <w:noWrap w:val="0"/>
            <w:vAlign w:val="center"/>
          </w:tcPr>
          <w:p>
            <w:pPr>
              <w:widowControl/>
              <w:jc w:val="left"/>
              <w:rPr>
                <w:rFonts w:hint="eastAsia" w:ascii="宋体" w:cs="宋体"/>
                <w:color w:val="000000"/>
                <w:kern w:val="0"/>
                <w:sz w:val="24"/>
                <w:szCs w:val="24"/>
                <w:lang w:bidi="ar-SA"/>
              </w:rPr>
            </w:pPr>
            <w:r>
              <w:rPr>
                <w:rFonts w:hint="eastAsia"/>
                <w:color w:val="000000"/>
                <w:sz w:val="24"/>
                <w:szCs w:val="24"/>
              </w:rPr>
              <w:t>黑色亚光细砂纹；1U免工具安装金属盲板，快开方式</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20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块</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4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750层板</w:t>
            </w:r>
          </w:p>
        </w:tc>
        <w:tc>
          <w:tcPr>
            <w:tcW w:w="5413" w:type="dxa"/>
            <w:noWrap w:val="0"/>
            <w:vAlign w:val="center"/>
          </w:tcPr>
          <w:p>
            <w:pPr>
              <w:widowControl/>
              <w:jc w:val="left"/>
              <w:rPr>
                <w:rFonts w:hint="eastAsia" w:ascii="宋体" w:cs="宋体"/>
                <w:color w:val="000000"/>
                <w:kern w:val="0"/>
                <w:sz w:val="24"/>
                <w:szCs w:val="24"/>
                <w:lang w:bidi="ar-SA"/>
              </w:rPr>
            </w:pPr>
            <w:r>
              <w:rPr>
                <w:rFonts w:hint="eastAsia"/>
                <w:color w:val="000000"/>
                <w:sz w:val="24"/>
                <w:szCs w:val="24"/>
              </w:rPr>
              <w:t>黑色亚光细砂纹；19寸安装，承重130kg，托盘尺寸485*720；适用于一体柜</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10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块</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5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横装理线架</w:t>
            </w:r>
          </w:p>
        </w:tc>
        <w:tc>
          <w:tcPr>
            <w:tcW w:w="5413" w:type="dxa"/>
            <w:noWrap w:val="0"/>
            <w:vAlign w:val="center"/>
          </w:tcPr>
          <w:p>
            <w:pPr>
              <w:widowControl/>
              <w:jc w:val="left"/>
              <w:rPr>
                <w:rFonts w:hint="eastAsia" w:ascii="宋体" w:cs="宋体"/>
                <w:color w:val="000000"/>
                <w:kern w:val="0"/>
                <w:sz w:val="24"/>
                <w:szCs w:val="24"/>
                <w:lang w:bidi="ar-SA"/>
              </w:rPr>
            </w:pPr>
            <w:r>
              <w:rPr>
                <w:rFonts w:hint="eastAsia"/>
                <w:color w:val="000000"/>
                <w:sz w:val="24"/>
                <w:szCs w:val="24"/>
              </w:rPr>
              <w:t>黑色亚光细砂纹</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块</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6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竖直扎线板（42U）</w:t>
            </w:r>
          </w:p>
        </w:tc>
        <w:tc>
          <w:tcPr>
            <w:tcW w:w="5413" w:type="dxa"/>
            <w:noWrap w:val="0"/>
            <w:vAlign w:val="center"/>
          </w:tcPr>
          <w:p>
            <w:pPr>
              <w:widowControl/>
              <w:jc w:val="left"/>
              <w:rPr>
                <w:rFonts w:hint="eastAsia" w:ascii="宋体" w:cs="宋体"/>
                <w:color w:val="000000"/>
                <w:kern w:val="0"/>
                <w:sz w:val="24"/>
                <w:szCs w:val="24"/>
                <w:lang w:bidi="ar-SA"/>
              </w:rPr>
            </w:pPr>
            <w:r>
              <w:rPr>
                <w:rFonts w:hint="eastAsia"/>
                <w:color w:val="000000"/>
                <w:sz w:val="24"/>
                <w:szCs w:val="24"/>
              </w:rPr>
              <w:t>已含在一体化机柜系统内</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6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块</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7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精密空调</w:t>
            </w:r>
          </w:p>
        </w:tc>
        <w:tc>
          <w:tcPr>
            <w:tcW w:w="5413" w:type="dxa"/>
            <w:noWrap w:val="0"/>
            <w:vAlign w:val="center"/>
          </w:tcPr>
          <w:p>
            <w:pPr>
              <w:widowControl/>
              <w:jc w:val="left"/>
              <w:rPr>
                <w:rFonts w:hint="eastAsia" w:ascii="宋体" w:cs="宋体"/>
                <w:color w:val="000000"/>
                <w:kern w:val="0"/>
                <w:sz w:val="24"/>
                <w:szCs w:val="24"/>
                <w:lang w:bidi="ar-SA"/>
              </w:rPr>
            </w:pPr>
            <w:r>
              <w:rPr>
                <w:rFonts w:hint="eastAsia"/>
                <w:color w:val="000000"/>
                <w:sz w:val="24"/>
                <w:szCs w:val="24"/>
              </w:rPr>
              <w:t>1、制冷量：8.1kW（室内干球温度37℃，30%RH；室外干球温度35℃，湿球温度24℃），风量：1500m3/h；</w:t>
            </w:r>
            <w:r>
              <w:rPr>
                <w:rFonts w:hint="eastAsia"/>
                <w:color w:val="000000"/>
                <w:sz w:val="24"/>
                <w:szCs w:val="24"/>
              </w:rPr>
              <w:br w:type="textWrapping"/>
            </w:r>
            <w:r>
              <w:rPr>
                <w:rFonts w:hint="eastAsia"/>
                <w:color w:val="000000"/>
                <w:sz w:val="24"/>
                <w:szCs w:val="24"/>
              </w:rPr>
              <w:t>尺寸：W440*D980*H442mm（10U），室内机噪声≤65dB(A)，AC风机，来电自启动，电源电压220VAC/50Hz；</w:t>
            </w:r>
            <w:r>
              <w:rPr>
                <w:rFonts w:hint="eastAsia"/>
                <w:color w:val="000000"/>
                <w:sz w:val="24"/>
                <w:szCs w:val="24"/>
              </w:rPr>
              <w:br w:type="textWrapping"/>
            </w:r>
            <w:r>
              <w:rPr>
                <w:color w:val="000000"/>
                <w:sz w:val="24"/>
                <w:szCs w:val="24"/>
              </w:rPr>
              <w:t>2</w:t>
            </w:r>
            <w:r>
              <w:rPr>
                <w:rFonts w:hint="eastAsia"/>
                <w:color w:val="000000"/>
                <w:sz w:val="24"/>
                <w:szCs w:val="24"/>
              </w:rPr>
              <w:t>、室外机最大电流14A，室内机最大电流1.2A，室外机从室内机取电，标准预充R410A制冷剂（支持5m长铜管）。</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台</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8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精密空调室外机</w:t>
            </w:r>
          </w:p>
        </w:tc>
        <w:tc>
          <w:tcPr>
            <w:tcW w:w="5413" w:type="dxa"/>
            <w:noWrap w:val="0"/>
            <w:vAlign w:val="center"/>
          </w:tcPr>
          <w:p>
            <w:pPr>
              <w:widowControl/>
              <w:rPr>
                <w:rFonts w:hint="eastAsia" w:ascii="宋体" w:cs="宋体"/>
                <w:color w:val="000000"/>
                <w:kern w:val="0"/>
                <w:sz w:val="24"/>
                <w:szCs w:val="24"/>
                <w:lang w:bidi="ar-SA"/>
              </w:rPr>
            </w:pPr>
            <w:r>
              <w:rPr>
                <w:rFonts w:hint="eastAsia"/>
                <w:color w:val="000000"/>
                <w:sz w:val="24"/>
                <w:szCs w:val="24"/>
              </w:rPr>
              <w:t>室外温度-15℃至45℃，尺寸为W860*D310*H670mm，内置压缩机，直流变频型，预充R410A冷媒（支持5m长铜管），汽管Ф12.7*0.8mm，液管Ф6.0*0.6mm，标配5米铜管。</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台</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9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三进单出在线机架式UPS-长机</w:t>
            </w:r>
          </w:p>
        </w:tc>
        <w:tc>
          <w:tcPr>
            <w:tcW w:w="5413" w:type="dxa"/>
            <w:noWrap w:val="0"/>
            <w:vAlign w:val="center"/>
          </w:tcPr>
          <w:p>
            <w:pPr>
              <w:widowControl/>
              <w:jc w:val="left"/>
              <w:rPr>
                <w:rFonts w:hint="eastAsia" w:ascii="宋体" w:cs="宋体"/>
                <w:color w:val="000000"/>
                <w:kern w:val="0"/>
                <w:sz w:val="24"/>
                <w:szCs w:val="24"/>
                <w:lang w:bidi="ar-SA"/>
              </w:rPr>
            </w:pPr>
            <w:r>
              <w:rPr>
                <w:rFonts w:hint="eastAsia"/>
                <w:color w:val="000000"/>
                <w:sz w:val="24"/>
                <w:szCs w:val="24"/>
              </w:rPr>
              <w:t>输入输出：三进单出，容量：15kVA/13.5kW，直流电压：384VDC（32-40节可设置，电池节数下单时说明）。</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台</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10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铅酸电池</w:t>
            </w:r>
          </w:p>
        </w:tc>
        <w:tc>
          <w:tcPr>
            <w:tcW w:w="5413" w:type="dxa"/>
            <w:noWrap w:val="0"/>
            <w:vAlign w:val="center"/>
          </w:tcPr>
          <w:p>
            <w:pPr>
              <w:widowControl/>
              <w:jc w:val="left"/>
              <w:rPr>
                <w:rFonts w:hint="eastAsia" w:ascii="宋体" w:cs="宋体"/>
                <w:color w:val="000000"/>
                <w:kern w:val="0"/>
                <w:sz w:val="24"/>
                <w:szCs w:val="24"/>
                <w:lang w:bidi="ar-SA"/>
              </w:rPr>
            </w:pPr>
            <w:r>
              <w:rPr>
                <w:rFonts w:hint="eastAsia"/>
                <w:color w:val="000000"/>
                <w:sz w:val="24"/>
                <w:szCs w:val="24"/>
              </w:rPr>
              <w:t>铅酸免维护蓄电池，确保电池不漏（渗）液、无酸雾、不腐蚀；单块额定电压：≥12V，额定容量：≥100AH；充电时产生的气体基本被回收还原成电解液，使用时无需加水，补液和测量电解液比重；浮充设计，电池寿命6年及以上（25℃）。</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16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只</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11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竖直PDU</w:t>
            </w:r>
          </w:p>
        </w:tc>
        <w:tc>
          <w:tcPr>
            <w:tcW w:w="5413" w:type="dxa"/>
            <w:noWrap w:val="0"/>
            <w:vAlign w:val="center"/>
          </w:tcPr>
          <w:p>
            <w:pPr>
              <w:widowControl/>
              <w:jc w:val="left"/>
              <w:rPr>
                <w:rFonts w:hint="eastAsia" w:ascii="宋体" w:cs="宋体"/>
                <w:color w:val="000000"/>
                <w:kern w:val="0"/>
                <w:sz w:val="24"/>
                <w:szCs w:val="24"/>
                <w:lang w:bidi="ar-SA"/>
              </w:rPr>
            </w:pPr>
            <w:r>
              <w:rPr>
                <w:rFonts w:hint="eastAsia"/>
                <w:color w:val="000000"/>
                <w:sz w:val="24"/>
                <w:szCs w:val="24"/>
              </w:rPr>
              <w:t>1、输入：L+N+PE，额定值：16A 250V 4KW，接线盒：能承载3*6MM²电缆，保护控制模块： C16A 总控1位+指示灯1位+防雷模块，插座制式：国标防脱扣10A插座20位+国标防脱扣16A插座4位，挂耳角度：前端70MM 后端25MM 挂耳180°竖向安装，固定孔中心距：1685±5mm</w:t>
            </w:r>
            <w:r>
              <w:rPr>
                <w:rFonts w:hint="eastAsia"/>
                <w:color w:val="000000"/>
                <w:sz w:val="24"/>
                <w:szCs w:val="24"/>
              </w:rPr>
              <w:br w:type="textWrapping"/>
            </w:r>
            <w:r>
              <w:rPr>
                <w:color w:val="000000"/>
                <w:sz w:val="24"/>
                <w:szCs w:val="24"/>
              </w:rPr>
              <w:t>2</w:t>
            </w:r>
            <w:r>
              <w:rPr>
                <w:rFonts w:hint="eastAsia"/>
                <w:color w:val="000000"/>
                <w:sz w:val="24"/>
                <w:szCs w:val="24"/>
              </w:rPr>
              <w:t>、产品尺寸规格：1721*62*55</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4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个</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12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一体化数据采集器</w:t>
            </w:r>
          </w:p>
        </w:tc>
        <w:tc>
          <w:tcPr>
            <w:tcW w:w="5413" w:type="dxa"/>
            <w:noWrap w:val="0"/>
            <w:vAlign w:val="center"/>
          </w:tcPr>
          <w:p>
            <w:pPr>
              <w:widowControl/>
              <w:jc w:val="left"/>
              <w:rPr>
                <w:rFonts w:hint="eastAsia" w:ascii="宋体" w:cs="宋体"/>
                <w:color w:val="000000"/>
                <w:kern w:val="0"/>
                <w:sz w:val="24"/>
                <w:szCs w:val="24"/>
                <w:lang w:bidi="ar-SA"/>
              </w:rPr>
            </w:pPr>
            <w:r>
              <w:rPr>
                <w:rFonts w:hint="eastAsia"/>
                <w:color w:val="000000"/>
                <w:sz w:val="24"/>
                <w:szCs w:val="24"/>
              </w:rPr>
              <w:t>灵芯监控主机具有2路USB、1路以太网、5路DI、2路DO、1路RS232串口、5路RS485串口</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台</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13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监控工业屏</w:t>
            </w:r>
          </w:p>
        </w:tc>
        <w:tc>
          <w:tcPr>
            <w:tcW w:w="5413" w:type="dxa"/>
            <w:noWrap w:val="0"/>
            <w:vAlign w:val="center"/>
          </w:tcPr>
          <w:p>
            <w:pPr>
              <w:widowControl/>
              <w:rPr>
                <w:rFonts w:hint="eastAsia" w:ascii="宋体" w:cs="宋体"/>
                <w:color w:val="000000"/>
                <w:kern w:val="0"/>
                <w:sz w:val="24"/>
                <w:szCs w:val="24"/>
                <w:lang w:bidi="ar-SA"/>
              </w:rPr>
            </w:pPr>
            <w:r>
              <w:rPr>
                <w:rFonts w:hint="eastAsia"/>
                <w:color w:val="000000"/>
                <w:sz w:val="24"/>
                <w:szCs w:val="24"/>
              </w:rPr>
              <w:t>显示器尺寸≥10.1英寸；解析度：≥1280(RGB)x800[WXGA]；显示区域：≥216.96(h)x135.6(v)mm；电源：DC12V/5A；摄像头：不低于200万像素；接口：支持HDMI/VGA/DVI、USB。</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台</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14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声光告警器</w:t>
            </w:r>
          </w:p>
        </w:tc>
        <w:tc>
          <w:tcPr>
            <w:tcW w:w="5413" w:type="dxa"/>
            <w:noWrap w:val="0"/>
            <w:vAlign w:val="center"/>
          </w:tcPr>
          <w:p>
            <w:pPr>
              <w:widowControl/>
              <w:jc w:val="left"/>
              <w:rPr>
                <w:rFonts w:hint="eastAsia" w:ascii="宋体" w:cs="宋体"/>
                <w:color w:val="000000"/>
                <w:kern w:val="0"/>
                <w:sz w:val="24"/>
                <w:szCs w:val="24"/>
                <w:lang w:bidi="ar-SA"/>
              </w:rPr>
            </w:pPr>
            <w:r>
              <w:rPr>
                <w:rFonts w:hint="eastAsia"/>
                <w:color w:val="000000"/>
                <w:sz w:val="24"/>
                <w:szCs w:val="24"/>
              </w:rPr>
              <w:t>红色-12VDC/70mA-105dB;</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台</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15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烟雾传感器</w:t>
            </w:r>
          </w:p>
        </w:tc>
        <w:tc>
          <w:tcPr>
            <w:tcW w:w="5413" w:type="dxa"/>
            <w:noWrap w:val="0"/>
            <w:vAlign w:val="center"/>
          </w:tcPr>
          <w:p>
            <w:pPr>
              <w:widowControl/>
              <w:jc w:val="left"/>
              <w:rPr>
                <w:color w:val="000000"/>
                <w:sz w:val="24"/>
                <w:szCs w:val="24"/>
              </w:rPr>
            </w:pPr>
            <w:r>
              <w:rPr>
                <w:rFonts w:hint="eastAsia"/>
                <w:color w:val="000000"/>
                <w:sz w:val="24"/>
                <w:szCs w:val="24"/>
              </w:rPr>
              <w:t>1、执行标准：GB4715-2005，工作电压：DC12V/24V（允许范围9V~30V），工作电流：监视状态&lt;1mA@DC12V  &lt;5mA@DC24V；火灾报警&lt;30mA@DC12V  &lt;35mA@DC24V;</w:t>
            </w:r>
          </w:p>
          <w:p>
            <w:pPr>
              <w:widowControl/>
              <w:jc w:val="left"/>
              <w:rPr>
                <w:color w:val="000000"/>
                <w:sz w:val="24"/>
                <w:szCs w:val="24"/>
              </w:rPr>
            </w:pPr>
            <w:r>
              <w:rPr>
                <w:rFonts w:hint="eastAsia"/>
                <w:color w:val="000000"/>
                <w:sz w:val="24"/>
                <w:szCs w:val="24"/>
              </w:rPr>
              <w:t>2、继电器输出：常开(火警后闭合)，触点容量1A 30VDC，工作指示：监视状态 红色指示灯约每6秒闪烁1次； 报警状态 红色指示灯常亮；故障状态 红色指示灯约每6秒连续闪烁2次;</w:t>
            </w:r>
          </w:p>
          <w:p>
            <w:pPr>
              <w:widowControl/>
              <w:rPr>
                <w:rFonts w:hint="eastAsia" w:ascii="宋体" w:cs="宋体"/>
                <w:color w:val="000000"/>
                <w:kern w:val="0"/>
                <w:sz w:val="24"/>
                <w:szCs w:val="24"/>
                <w:lang w:bidi="ar-SA"/>
              </w:rPr>
            </w:pPr>
            <w:r>
              <w:rPr>
                <w:rFonts w:hint="eastAsia"/>
                <w:color w:val="000000"/>
                <w:sz w:val="24"/>
                <w:szCs w:val="24"/>
              </w:rPr>
              <w:t>3、使用环境：温度：-10℃~+65℃，相对湿度：95%（40℃±2℃无凝露），外形尺寸：75mm×51.8mm×38.5mm(带底座)。</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台</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16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温湿度传感器（机柜式）</w:t>
            </w:r>
          </w:p>
        </w:tc>
        <w:tc>
          <w:tcPr>
            <w:tcW w:w="5413" w:type="dxa"/>
            <w:noWrap w:val="0"/>
            <w:vAlign w:val="center"/>
          </w:tcPr>
          <w:p>
            <w:pPr>
              <w:widowControl/>
              <w:rPr>
                <w:rFonts w:hint="eastAsia" w:ascii="宋体" w:cs="宋体"/>
                <w:color w:val="000000"/>
                <w:kern w:val="0"/>
                <w:sz w:val="24"/>
                <w:szCs w:val="24"/>
                <w:lang w:bidi="ar-SA"/>
              </w:rPr>
            </w:pPr>
            <w:r>
              <w:rPr>
                <w:rFonts w:hint="eastAsia"/>
                <w:color w:val="000000"/>
                <w:sz w:val="24"/>
                <w:szCs w:val="24"/>
              </w:rPr>
              <w:t>无显示，电压 DC 9-28V ；测量范围 温度：-20℃~80℃；湿度：0~100%RH/ RS485 输出。</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台</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17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GSM短信模块</w:t>
            </w:r>
          </w:p>
        </w:tc>
        <w:tc>
          <w:tcPr>
            <w:tcW w:w="5413" w:type="dxa"/>
            <w:noWrap w:val="0"/>
            <w:vAlign w:val="center"/>
          </w:tcPr>
          <w:p>
            <w:pPr>
              <w:widowControl/>
              <w:rPr>
                <w:rFonts w:hint="eastAsia" w:ascii="宋体" w:cs="宋体"/>
                <w:color w:val="000000"/>
                <w:kern w:val="0"/>
                <w:sz w:val="24"/>
                <w:szCs w:val="24"/>
                <w:lang w:bidi="ar-SA"/>
              </w:rPr>
            </w:pPr>
            <w:r>
              <w:rPr>
                <w:rFonts w:hint="eastAsia"/>
                <w:color w:val="000000"/>
                <w:sz w:val="24"/>
                <w:szCs w:val="24"/>
              </w:rPr>
              <w:t>电源：DC7~48V宽压设计,低功耗 ；金属外壳，抗电磁干扰性能优良；硬件看门狗设计；数据接口RS232/RS-485/TTL 。</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台</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076" w:type="dxa"/>
            <w:gridSpan w:val="3"/>
            <w:noWrap w:val="0"/>
            <w:vAlign w:val="center"/>
          </w:tcPr>
          <w:p>
            <w:pPr>
              <w:widowControl/>
              <w:jc w:val="left"/>
              <w:rPr>
                <w:rFonts w:hint="eastAsia" w:ascii="宋体" w:cs="宋体"/>
                <w:b/>
                <w:bCs/>
                <w:color w:val="000000"/>
                <w:kern w:val="0"/>
                <w:sz w:val="24"/>
                <w:szCs w:val="24"/>
                <w:lang w:bidi="ar-SA"/>
              </w:rPr>
            </w:pPr>
            <w:r>
              <w:rPr>
                <w:rFonts w:hint="eastAsia" w:ascii="宋体" w:cs="宋体"/>
                <w:b/>
                <w:bCs/>
                <w:color w:val="000000"/>
                <w:kern w:val="0"/>
                <w:sz w:val="24"/>
                <w:szCs w:val="24"/>
                <w:lang w:bidi="ar-SA"/>
              </w:rPr>
              <w:t>六）配套辅材（包含一二三楼和楼外视频监控、WiFi、电话线缆）</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6类网线</w:t>
            </w:r>
          </w:p>
        </w:tc>
        <w:tc>
          <w:tcPr>
            <w:tcW w:w="5413" w:type="dxa"/>
            <w:noWrap w:val="0"/>
            <w:vAlign w:val="center"/>
          </w:tcPr>
          <w:p>
            <w:pPr>
              <w:widowControl/>
              <w:jc w:val="left"/>
              <w:rPr>
                <w:rFonts w:hint="eastAsia" w:ascii="宋体" w:cs="宋体"/>
                <w:color w:val="000000"/>
                <w:kern w:val="0"/>
                <w:sz w:val="24"/>
                <w:szCs w:val="24"/>
                <w:lang w:bidi="ar-SA"/>
              </w:rPr>
            </w:pPr>
            <w:r>
              <w:rPr>
                <w:rFonts w:hint="eastAsia"/>
                <w:color w:val="000000"/>
                <w:sz w:val="24"/>
                <w:szCs w:val="24"/>
              </w:rPr>
              <w:t>250MHz带宽、中心十字PE骨架、24AWG；单根导体最大电阻≤9.5Ω/100m；线对直流电阻不平衡型≤2.5%；导体间介电强度(DC,1min)：1Kv/1min；工作电容最大值：5.6nF/100m；规格：305米/箱。</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23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箱</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2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6类配线架</w:t>
            </w:r>
          </w:p>
        </w:tc>
        <w:tc>
          <w:tcPr>
            <w:tcW w:w="5413" w:type="dxa"/>
            <w:noWrap w:val="0"/>
            <w:vAlign w:val="center"/>
          </w:tcPr>
          <w:p>
            <w:pPr>
              <w:widowControl/>
              <w:jc w:val="left"/>
              <w:rPr>
                <w:rFonts w:hint="eastAsia" w:ascii="宋体" w:cs="宋体"/>
                <w:color w:val="000000"/>
                <w:kern w:val="0"/>
                <w:sz w:val="24"/>
                <w:szCs w:val="24"/>
                <w:lang w:bidi="ar-SA"/>
              </w:rPr>
            </w:pPr>
            <w:r>
              <w:rPr>
                <w:rFonts w:hint="eastAsia"/>
                <w:color w:val="000000"/>
                <w:sz w:val="24"/>
                <w:szCs w:val="24"/>
              </w:rPr>
              <w:t xml:space="preserve">24口数据配线架，含六类非屏蔽模块。                                                                                                                                                                                                                                                                                                                    </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2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个</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3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6类数据插座</w:t>
            </w:r>
          </w:p>
        </w:tc>
        <w:tc>
          <w:tcPr>
            <w:tcW w:w="5413" w:type="dxa"/>
            <w:noWrap w:val="0"/>
            <w:vAlign w:val="center"/>
          </w:tcPr>
          <w:p>
            <w:pPr>
              <w:widowControl/>
              <w:jc w:val="left"/>
              <w:rPr>
                <w:rFonts w:hint="eastAsia" w:ascii="宋体" w:cs="宋体"/>
                <w:color w:val="000000"/>
                <w:kern w:val="0"/>
                <w:sz w:val="24"/>
                <w:szCs w:val="24"/>
                <w:lang w:bidi="ar-SA"/>
              </w:rPr>
            </w:pPr>
            <w:r>
              <w:rPr>
                <w:rFonts w:hint="eastAsia"/>
                <w:color w:val="000000"/>
                <w:sz w:val="24"/>
                <w:szCs w:val="24"/>
              </w:rPr>
              <w:t>包含6类数据模块，单口面板、底盒等。</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100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套</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4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电话配线架</w:t>
            </w:r>
          </w:p>
        </w:tc>
        <w:tc>
          <w:tcPr>
            <w:tcW w:w="5413" w:type="dxa"/>
            <w:noWrap w:val="0"/>
            <w:vAlign w:val="center"/>
          </w:tcPr>
          <w:p>
            <w:pPr>
              <w:widowControl/>
              <w:jc w:val="left"/>
              <w:rPr>
                <w:rFonts w:hint="eastAsia" w:ascii="宋体" w:cs="宋体"/>
                <w:color w:val="000000"/>
                <w:kern w:val="0"/>
                <w:sz w:val="24"/>
                <w:szCs w:val="24"/>
                <w:lang w:bidi="ar-SA"/>
              </w:rPr>
            </w:pPr>
            <w:r>
              <w:rPr>
                <w:rFonts w:hint="eastAsia"/>
                <w:color w:val="000000"/>
                <w:sz w:val="24"/>
                <w:szCs w:val="24"/>
              </w:rPr>
              <w:t>110配线架。</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2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条</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5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电话模块</w:t>
            </w:r>
          </w:p>
        </w:tc>
        <w:tc>
          <w:tcPr>
            <w:tcW w:w="5413" w:type="dxa"/>
            <w:noWrap w:val="0"/>
            <w:vAlign w:val="center"/>
          </w:tcPr>
          <w:p>
            <w:pPr>
              <w:widowControl/>
              <w:jc w:val="left"/>
              <w:rPr>
                <w:rFonts w:hint="eastAsia" w:ascii="宋体" w:cs="宋体"/>
                <w:color w:val="000000"/>
                <w:kern w:val="0"/>
                <w:sz w:val="24"/>
                <w:szCs w:val="24"/>
                <w:lang w:bidi="ar-SA"/>
              </w:rPr>
            </w:pPr>
            <w:r>
              <w:rPr>
                <w:rFonts w:hint="eastAsia"/>
                <w:color w:val="000000"/>
                <w:sz w:val="24"/>
                <w:szCs w:val="24"/>
              </w:rPr>
              <w:t>模块加单口面板加底盒。</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14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套</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6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接地铜排</w:t>
            </w:r>
          </w:p>
        </w:tc>
        <w:tc>
          <w:tcPr>
            <w:tcW w:w="5413" w:type="dxa"/>
            <w:noWrap w:val="0"/>
            <w:vAlign w:val="center"/>
          </w:tcPr>
          <w:p>
            <w:pPr>
              <w:widowControl/>
              <w:jc w:val="left"/>
              <w:rPr>
                <w:rFonts w:hint="eastAsia" w:ascii="宋体" w:cs="宋体"/>
                <w:color w:val="000000"/>
                <w:kern w:val="0"/>
                <w:sz w:val="24"/>
                <w:szCs w:val="24"/>
                <w:lang w:bidi="ar-SA"/>
              </w:rPr>
            </w:pPr>
            <w:r>
              <w:rPr>
                <w:rFonts w:hint="eastAsia"/>
                <w:color w:val="000000"/>
                <w:sz w:val="24"/>
                <w:szCs w:val="24"/>
              </w:rPr>
              <w:t>规格：30*3；在机房用铜带做等电位接地。</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20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米</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7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绝缘支柱</w:t>
            </w:r>
          </w:p>
        </w:tc>
        <w:tc>
          <w:tcPr>
            <w:tcW w:w="5413" w:type="dxa"/>
            <w:noWrap w:val="0"/>
            <w:vAlign w:val="center"/>
          </w:tcPr>
          <w:p>
            <w:pPr>
              <w:widowControl/>
              <w:jc w:val="left"/>
              <w:rPr>
                <w:rFonts w:hint="eastAsia" w:ascii="宋体" w:cs="宋体"/>
                <w:color w:val="000000"/>
                <w:kern w:val="0"/>
                <w:sz w:val="24"/>
                <w:szCs w:val="24"/>
                <w:lang w:bidi="ar-SA"/>
              </w:rPr>
            </w:pPr>
            <w:r>
              <w:rPr>
                <w:rFonts w:hint="eastAsia"/>
                <w:color w:val="000000"/>
                <w:sz w:val="24"/>
                <w:szCs w:val="24"/>
              </w:rPr>
              <w:t>安装铜排支柱。</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20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个</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8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接地母线</w:t>
            </w:r>
          </w:p>
        </w:tc>
        <w:tc>
          <w:tcPr>
            <w:tcW w:w="5413" w:type="dxa"/>
            <w:noWrap w:val="0"/>
            <w:vAlign w:val="center"/>
          </w:tcPr>
          <w:p>
            <w:pPr>
              <w:widowControl/>
              <w:jc w:val="left"/>
              <w:rPr>
                <w:rFonts w:hint="eastAsia" w:ascii="宋体" w:cs="宋体"/>
                <w:color w:val="000000"/>
                <w:kern w:val="0"/>
                <w:sz w:val="24"/>
                <w:szCs w:val="24"/>
                <w:lang w:bidi="ar-SA"/>
              </w:rPr>
            </w:pPr>
            <w:r>
              <w:rPr>
                <w:rFonts w:hint="eastAsia"/>
                <w:color w:val="000000"/>
                <w:sz w:val="24"/>
                <w:szCs w:val="24"/>
              </w:rPr>
              <w:t>接地线BVR16mm2、用于从接地铜网上引至配电柜、精密空调设备等处。</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50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米</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9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接地母线</w:t>
            </w:r>
          </w:p>
        </w:tc>
        <w:tc>
          <w:tcPr>
            <w:tcW w:w="5413" w:type="dxa"/>
            <w:noWrap w:val="0"/>
            <w:vAlign w:val="center"/>
          </w:tcPr>
          <w:p>
            <w:pPr>
              <w:widowControl/>
              <w:jc w:val="left"/>
              <w:rPr>
                <w:rFonts w:hint="eastAsia" w:ascii="宋体" w:cs="宋体"/>
                <w:color w:val="000000"/>
                <w:kern w:val="0"/>
                <w:sz w:val="24"/>
                <w:szCs w:val="24"/>
                <w:lang w:bidi="ar-SA"/>
              </w:rPr>
            </w:pPr>
            <w:r>
              <w:rPr>
                <w:rFonts w:hint="eastAsia"/>
                <w:color w:val="000000"/>
                <w:sz w:val="24"/>
                <w:szCs w:val="24"/>
              </w:rPr>
              <w:t>接地线BVR6mm2、用于从接地铜网上引至防静地板、机房机柜设备等处。</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50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米</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10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室外接地体</w:t>
            </w:r>
          </w:p>
        </w:tc>
        <w:tc>
          <w:tcPr>
            <w:tcW w:w="5413" w:type="dxa"/>
            <w:noWrap w:val="0"/>
            <w:vAlign w:val="center"/>
          </w:tcPr>
          <w:p>
            <w:pPr>
              <w:widowControl/>
              <w:jc w:val="left"/>
              <w:rPr>
                <w:rFonts w:hint="eastAsia" w:ascii="宋体" w:cs="宋体"/>
                <w:color w:val="000000"/>
                <w:kern w:val="0"/>
                <w:sz w:val="24"/>
                <w:szCs w:val="24"/>
                <w:lang w:bidi="ar-SA"/>
              </w:rPr>
            </w:pPr>
            <w:r>
              <w:rPr>
                <w:rFonts w:hint="eastAsia"/>
                <w:color w:val="000000"/>
                <w:sz w:val="24"/>
                <w:szCs w:val="24"/>
              </w:rPr>
              <w:t>利用现有防雷设施。</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项</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11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等电位箱</w:t>
            </w:r>
          </w:p>
        </w:tc>
        <w:tc>
          <w:tcPr>
            <w:tcW w:w="5413" w:type="dxa"/>
            <w:noWrap w:val="0"/>
            <w:vAlign w:val="center"/>
          </w:tcPr>
          <w:p>
            <w:pPr>
              <w:widowControl/>
              <w:jc w:val="left"/>
              <w:rPr>
                <w:rFonts w:hint="eastAsia" w:ascii="宋体" w:cs="宋体"/>
                <w:color w:val="000000"/>
                <w:kern w:val="0"/>
                <w:sz w:val="24"/>
                <w:szCs w:val="24"/>
                <w:lang w:bidi="ar-SA"/>
              </w:rPr>
            </w:pPr>
            <w:r>
              <w:rPr>
                <w:rFonts w:hint="eastAsia"/>
                <w:color w:val="000000"/>
                <w:sz w:val="24"/>
                <w:szCs w:val="24"/>
              </w:rPr>
              <w:t>等电位箱。</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2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套</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12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机房配电线路及插座</w:t>
            </w:r>
          </w:p>
        </w:tc>
        <w:tc>
          <w:tcPr>
            <w:tcW w:w="5413" w:type="dxa"/>
            <w:noWrap w:val="0"/>
            <w:vAlign w:val="center"/>
          </w:tcPr>
          <w:p>
            <w:pPr>
              <w:widowControl/>
              <w:jc w:val="left"/>
              <w:rPr>
                <w:rFonts w:hint="eastAsia" w:ascii="宋体" w:cs="宋体"/>
                <w:color w:val="000000"/>
                <w:kern w:val="0"/>
                <w:sz w:val="24"/>
                <w:szCs w:val="24"/>
                <w:lang w:bidi="ar-SA"/>
              </w:rPr>
            </w:pPr>
            <w:r>
              <w:rPr>
                <w:rFonts w:hint="eastAsia"/>
                <w:color w:val="000000"/>
                <w:sz w:val="24"/>
                <w:szCs w:val="24"/>
              </w:rPr>
              <w:t>尺寸要求：≥500mm*600mm*180mm；开关配置要求：2 个≥320A/3P 塑壳开关，1 个160A/3P 塑壳开关，5 个32A/3P 塑壳空开，预留15 个16A/3P 塑壳空开；含C级防雷模块。</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2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项</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13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网格桥架</w:t>
            </w:r>
          </w:p>
        </w:tc>
        <w:tc>
          <w:tcPr>
            <w:tcW w:w="5413" w:type="dxa"/>
            <w:noWrap w:val="0"/>
            <w:vAlign w:val="center"/>
          </w:tcPr>
          <w:p>
            <w:pPr>
              <w:widowControl/>
              <w:jc w:val="left"/>
              <w:rPr>
                <w:rFonts w:hint="eastAsia" w:ascii="宋体" w:cs="宋体"/>
                <w:color w:val="000000"/>
                <w:kern w:val="0"/>
                <w:sz w:val="24"/>
                <w:szCs w:val="24"/>
                <w:lang w:bidi="ar-SA"/>
              </w:rPr>
            </w:pPr>
            <w:r>
              <w:rPr>
                <w:rFonts w:hint="eastAsia"/>
                <w:color w:val="000000"/>
                <w:sz w:val="24"/>
                <w:szCs w:val="24"/>
              </w:rPr>
              <w:t>机房内部走线使用，H≥100mm，B≥200mm。</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10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米</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14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电缆桥架</w:t>
            </w:r>
          </w:p>
        </w:tc>
        <w:tc>
          <w:tcPr>
            <w:tcW w:w="5413" w:type="dxa"/>
            <w:noWrap w:val="0"/>
            <w:vAlign w:val="center"/>
          </w:tcPr>
          <w:p>
            <w:pPr>
              <w:widowControl/>
              <w:jc w:val="left"/>
              <w:rPr>
                <w:rFonts w:hint="eastAsia" w:ascii="宋体" w:cs="宋体"/>
                <w:color w:val="000000"/>
                <w:kern w:val="0"/>
                <w:sz w:val="24"/>
                <w:szCs w:val="24"/>
                <w:lang w:bidi="ar-SA"/>
              </w:rPr>
            </w:pPr>
            <w:r>
              <w:rPr>
                <w:rFonts w:hint="eastAsia"/>
                <w:color w:val="000000"/>
                <w:sz w:val="24"/>
                <w:szCs w:val="24"/>
              </w:rPr>
              <w:t>金属桥架，H≥100mm，B≥200mm。</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70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米</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15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理线架</w:t>
            </w:r>
          </w:p>
        </w:tc>
        <w:tc>
          <w:tcPr>
            <w:tcW w:w="5413" w:type="dxa"/>
            <w:noWrap w:val="0"/>
            <w:vAlign w:val="center"/>
          </w:tcPr>
          <w:p>
            <w:pPr>
              <w:widowControl/>
              <w:jc w:val="left"/>
              <w:rPr>
                <w:rFonts w:hint="eastAsia" w:ascii="宋体" w:cs="宋体"/>
                <w:color w:val="000000"/>
                <w:kern w:val="0"/>
                <w:sz w:val="24"/>
                <w:szCs w:val="24"/>
                <w:lang w:bidi="ar-SA"/>
              </w:rPr>
            </w:pPr>
            <w:r>
              <w:rPr>
                <w:rFonts w:hint="eastAsia"/>
                <w:color w:val="000000"/>
                <w:sz w:val="24"/>
                <w:szCs w:val="24"/>
              </w:rPr>
              <w:t>≥19英寸；≥12孔；材质：铁制。</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6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个</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highlight w:val="none"/>
                <w:lang w:bidi="ar-SA"/>
              </w:rPr>
            </w:pPr>
            <w:r>
              <w:rPr>
                <w:rFonts w:hint="eastAsia" w:ascii="宋体" w:cs="宋体"/>
                <w:color w:val="000000"/>
                <w:kern w:val="0"/>
                <w:sz w:val="24"/>
                <w:szCs w:val="24"/>
                <w:highlight w:val="none"/>
                <w:lang w:bidi="ar-SA"/>
              </w:rPr>
              <w:t xml:space="preserve">16 </w:t>
            </w:r>
          </w:p>
        </w:tc>
        <w:tc>
          <w:tcPr>
            <w:tcW w:w="1273" w:type="dxa"/>
            <w:noWrap w:val="0"/>
            <w:vAlign w:val="center"/>
          </w:tcPr>
          <w:p>
            <w:pPr>
              <w:widowControl/>
              <w:jc w:val="center"/>
              <w:rPr>
                <w:rFonts w:hint="eastAsia" w:ascii="宋体" w:cs="宋体"/>
                <w:color w:val="000000"/>
                <w:kern w:val="0"/>
                <w:sz w:val="24"/>
                <w:szCs w:val="24"/>
                <w:highlight w:val="none"/>
                <w:lang w:bidi="ar-SA"/>
              </w:rPr>
            </w:pPr>
            <w:r>
              <w:rPr>
                <w:rFonts w:hint="eastAsia" w:ascii="宋体" w:cs="宋体"/>
                <w:color w:val="000000"/>
                <w:kern w:val="0"/>
                <w:sz w:val="24"/>
                <w:szCs w:val="24"/>
                <w:highlight w:val="none"/>
                <w:lang w:bidi="ar-SA"/>
              </w:rPr>
              <w:t>机房消防</w:t>
            </w:r>
          </w:p>
        </w:tc>
        <w:tc>
          <w:tcPr>
            <w:tcW w:w="5413" w:type="dxa"/>
            <w:noWrap w:val="0"/>
            <w:vAlign w:val="center"/>
          </w:tcPr>
          <w:p>
            <w:pPr>
              <w:widowControl/>
              <w:jc w:val="left"/>
              <w:rPr>
                <w:rFonts w:hint="eastAsia" w:ascii="宋体" w:cs="宋体"/>
                <w:color w:val="000000"/>
                <w:kern w:val="0"/>
                <w:sz w:val="24"/>
                <w:szCs w:val="24"/>
                <w:highlight w:val="none"/>
                <w:lang w:bidi="ar-SA"/>
              </w:rPr>
            </w:pPr>
            <w:r>
              <w:rPr>
                <w:rFonts w:hint="eastAsia"/>
                <w:color w:val="000000"/>
                <w:sz w:val="24"/>
                <w:szCs w:val="24"/>
                <w:highlight w:val="none"/>
              </w:rPr>
              <w:t>七氟丙烷立柜式40L气体灭火装置 无管网气体灭火系统。</w:t>
            </w:r>
          </w:p>
        </w:tc>
        <w:tc>
          <w:tcPr>
            <w:tcW w:w="640" w:type="dxa"/>
            <w:noWrap w:val="0"/>
            <w:vAlign w:val="center"/>
          </w:tcPr>
          <w:p>
            <w:pPr>
              <w:widowControl/>
              <w:jc w:val="center"/>
              <w:rPr>
                <w:rFonts w:hint="eastAsia" w:ascii="宋体" w:cs="宋体"/>
                <w:color w:val="000000"/>
                <w:kern w:val="0"/>
                <w:sz w:val="24"/>
                <w:szCs w:val="24"/>
                <w:highlight w:val="none"/>
                <w:lang w:bidi="ar-SA"/>
              </w:rPr>
            </w:pPr>
            <w:r>
              <w:rPr>
                <w:rFonts w:hint="eastAsia" w:ascii="宋体" w:cs="宋体"/>
                <w:color w:val="000000"/>
                <w:kern w:val="0"/>
                <w:sz w:val="24"/>
                <w:szCs w:val="24"/>
                <w:highlight w:val="none"/>
                <w:lang w:bidi="ar-SA"/>
              </w:rPr>
              <w:t xml:space="preserve">1 </w:t>
            </w:r>
          </w:p>
        </w:tc>
        <w:tc>
          <w:tcPr>
            <w:tcW w:w="656" w:type="dxa"/>
            <w:noWrap w:val="0"/>
            <w:vAlign w:val="center"/>
          </w:tcPr>
          <w:p>
            <w:pPr>
              <w:widowControl/>
              <w:jc w:val="center"/>
              <w:rPr>
                <w:rFonts w:hint="eastAsia" w:ascii="宋体" w:cs="宋体"/>
                <w:color w:val="000000"/>
                <w:kern w:val="0"/>
                <w:sz w:val="24"/>
                <w:szCs w:val="24"/>
                <w:highlight w:val="none"/>
                <w:lang w:bidi="ar-SA"/>
              </w:rPr>
            </w:pPr>
            <w:r>
              <w:rPr>
                <w:rFonts w:hint="eastAsia" w:ascii="宋体" w:cs="宋体"/>
                <w:color w:val="000000"/>
                <w:kern w:val="0"/>
                <w:sz w:val="24"/>
                <w:szCs w:val="24"/>
                <w:highlight w:val="none"/>
                <w:lang w:bidi="ar-SA"/>
              </w:rPr>
              <w:t>套</w:t>
            </w:r>
          </w:p>
        </w:tc>
        <w:tc>
          <w:tcPr>
            <w:tcW w:w="1590" w:type="dxa"/>
            <w:noWrap w:val="0"/>
            <w:vAlign w:val="center"/>
          </w:tcPr>
          <w:p>
            <w:pPr>
              <w:widowControl/>
              <w:jc w:val="left"/>
              <w:rPr>
                <w:rFonts w:hint="eastAsia" w:ascii="宋体" w:cs="宋体"/>
                <w:color w:val="000000"/>
                <w:kern w:val="0"/>
                <w:sz w:val="24"/>
                <w:szCs w:val="24"/>
                <w:highlight w:val="none"/>
                <w:lang w:bidi="ar-SA"/>
              </w:rPr>
            </w:pPr>
            <w:r>
              <w:rPr>
                <w:rFonts w:hint="eastAsia" w:ascii="宋体" w:cs="宋体"/>
                <w:color w:val="000000"/>
                <w:kern w:val="0"/>
                <w:sz w:val="24"/>
                <w:szCs w:val="24"/>
                <w:highlight w:val="none"/>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17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配件</w:t>
            </w:r>
          </w:p>
        </w:tc>
        <w:tc>
          <w:tcPr>
            <w:tcW w:w="5413" w:type="dxa"/>
            <w:noWrap w:val="0"/>
            <w:vAlign w:val="center"/>
          </w:tcPr>
          <w:p>
            <w:pPr>
              <w:widowControl/>
              <w:jc w:val="left"/>
              <w:rPr>
                <w:rFonts w:hint="eastAsia" w:ascii="宋体" w:cs="宋体"/>
                <w:color w:val="000000"/>
                <w:kern w:val="0"/>
                <w:sz w:val="24"/>
                <w:szCs w:val="24"/>
                <w:lang w:bidi="ar-SA"/>
              </w:rPr>
            </w:pPr>
            <w:r>
              <w:rPr>
                <w:rFonts w:hint="eastAsia"/>
                <w:color w:val="000000"/>
                <w:sz w:val="24"/>
                <w:szCs w:val="24"/>
              </w:rPr>
              <w:t>包含6类非屏蔽水晶头*200颗、各类接头（铜芯电力电缆头制作安装 四芯及以内截面≤10mm2），五孔插座*5（含底盒）、PVC管*2800米（直径25）、其他辅材和老线路拆除等。</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批</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372" w:type="dxa"/>
            <w:gridSpan w:val="5"/>
            <w:noWrap w:val="0"/>
            <w:vAlign w:val="center"/>
          </w:tcPr>
          <w:p>
            <w:pPr>
              <w:widowControl/>
              <w:jc w:val="left"/>
              <w:rPr>
                <w:rFonts w:hint="eastAsia" w:ascii="宋体" w:cs="宋体"/>
                <w:b/>
                <w:bCs/>
                <w:color w:val="000000"/>
                <w:kern w:val="0"/>
                <w:sz w:val="24"/>
                <w:szCs w:val="24"/>
                <w:lang w:bidi="ar-SA"/>
              </w:rPr>
            </w:pPr>
            <w:r>
              <w:rPr>
                <w:rFonts w:hint="eastAsia" w:ascii="宋体" w:cs="宋体"/>
                <w:b/>
                <w:bCs/>
                <w:color w:val="000000"/>
                <w:kern w:val="0"/>
                <w:sz w:val="24"/>
                <w:szCs w:val="24"/>
                <w:lang w:bidi="ar-SA"/>
              </w:rPr>
              <w:t>二、软件设备</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372" w:type="dxa"/>
            <w:gridSpan w:val="5"/>
            <w:noWrap w:val="0"/>
            <w:vAlign w:val="center"/>
          </w:tcPr>
          <w:p>
            <w:pPr>
              <w:widowControl/>
              <w:jc w:val="left"/>
              <w:rPr>
                <w:rFonts w:hint="eastAsia" w:ascii="宋体" w:cs="宋体"/>
                <w:b/>
                <w:bCs/>
                <w:color w:val="000000"/>
                <w:kern w:val="0"/>
                <w:sz w:val="24"/>
                <w:szCs w:val="24"/>
                <w:lang w:bidi="ar-SA"/>
              </w:rPr>
            </w:pPr>
            <w:r>
              <w:rPr>
                <w:rFonts w:hint="eastAsia" w:ascii="宋体" w:cs="宋体"/>
                <w:b/>
                <w:bCs/>
                <w:color w:val="000000"/>
                <w:kern w:val="0"/>
                <w:sz w:val="24"/>
                <w:szCs w:val="24"/>
                <w:lang w:bidi="ar-SA"/>
              </w:rPr>
              <w:t>（一）信息资源规划和数据建设</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信息资源梳理</w:t>
            </w:r>
          </w:p>
        </w:tc>
        <w:tc>
          <w:tcPr>
            <w:tcW w:w="5413" w:type="dxa"/>
            <w:noWrap w:val="0"/>
            <w:vAlign w:val="center"/>
          </w:tcPr>
          <w:p>
            <w:pPr>
              <w:widowControl/>
              <w:jc w:val="left"/>
              <w:rPr>
                <w:rFonts w:hint="eastAsia" w:ascii="宋体" w:cs="宋体"/>
                <w:color w:val="000000"/>
                <w:kern w:val="0"/>
                <w:sz w:val="24"/>
                <w:szCs w:val="24"/>
                <w:lang w:bidi="ar-SA"/>
              </w:rPr>
            </w:pPr>
            <w:r>
              <w:rPr>
                <w:rFonts w:hint="eastAsia"/>
                <w:color w:val="000000"/>
                <w:sz w:val="24"/>
                <w:szCs w:val="24"/>
              </w:rPr>
              <w:t>1、结合部省退役军人相关数据标准体系对眉山市退役军人的基础信息和相关业务信息在采集、处理、传输、利用的全面梳理，分析跨层级、跨部门、跨地域协同管理的信息数据需求，编制完成眉山市退役军人相关数据标准。</w:t>
            </w:r>
            <w:r>
              <w:rPr>
                <w:rFonts w:hint="eastAsia"/>
                <w:color w:val="000000"/>
                <w:sz w:val="24"/>
                <w:szCs w:val="24"/>
              </w:rPr>
              <w:br w:type="textWrapping"/>
            </w:r>
            <w:r>
              <w:rPr>
                <w:color w:val="000000"/>
                <w:sz w:val="24"/>
                <w:szCs w:val="24"/>
              </w:rPr>
              <w:t>2</w:t>
            </w:r>
            <w:r>
              <w:rPr>
                <w:rFonts w:hint="eastAsia"/>
                <w:color w:val="000000"/>
                <w:sz w:val="24"/>
                <w:szCs w:val="24"/>
              </w:rPr>
              <w:t>、投标人需提供信息资源梳理详细的技术方案，包括信息资源梳理的工作思路、信息资源梳理内容及信息资源目录体系等。</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项</w:t>
            </w:r>
          </w:p>
        </w:tc>
        <w:tc>
          <w:tcPr>
            <w:tcW w:w="1590" w:type="dxa"/>
            <w:noWrap w:val="0"/>
            <w:vAlign w:val="center"/>
          </w:tcPr>
          <w:p>
            <w:pPr>
              <w:widowControl/>
              <w:jc w:val="left"/>
              <w:rPr>
                <w:rFonts w:hint="eastAsia" w:ascii="宋体" w:cs="宋体"/>
                <w:b/>
                <w:bCs/>
                <w:color w:val="000000"/>
                <w:kern w:val="0"/>
                <w:sz w:val="24"/>
                <w:szCs w:val="24"/>
                <w:lang w:bidi="ar-SA"/>
              </w:rPr>
            </w:pPr>
            <w:r>
              <w:rPr>
                <w:rFonts w:hint="eastAsia" w:ascii="宋体" w:cs="宋体"/>
                <w:b/>
                <w:bCs/>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2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退役军人电子档案管理系统（一人一档）</w:t>
            </w:r>
          </w:p>
        </w:tc>
        <w:tc>
          <w:tcPr>
            <w:tcW w:w="5413" w:type="dxa"/>
            <w:noWrap w:val="0"/>
            <w:vAlign w:val="center"/>
          </w:tcPr>
          <w:p>
            <w:pPr>
              <w:widowControl/>
              <w:jc w:val="left"/>
              <w:rPr>
                <w:rFonts w:hint="eastAsia" w:ascii="宋体" w:cs="宋体"/>
                <w:color w:val="000000"/>
                <w:kern w:val="0"/>
                <w:sz w:val="24"/>
                <w:szCs w:val="24"/>
                <w:lang w:bidi="ar-SA"/>
              </w:rPr>
            </w:pPr>
            <w:r>
              <w:rPr>
                <w:rFonts w:hint="eastAsia"/>
                <w:color w:val="000000"/>
                <w:sz w:val="24"/>
                <w:szCs w:val="24"/>
              </w:rPr>
              <w:t>1、退役军人电子档案管理系统（一人一档）基于退役军人基础数据库进行建设，系统将全市退役军人和其他优抚对象的基本情况、生活情况、就业创业、信访咨询、援助帮扶等信息进行汇总，通过数据画像全面展示退役军人及其他优抚对象各维度信息，此外，系统以数据为基础从全局角度进行预测延段实现退役军人数据综合分析，从而为眉山市退役军人事务局工作开展与决策支持提供精确数据支持。退役军人电子档案管理系统（一人一档）包括：系统管理、档案管理、档案变更、统计分析等功能。</w:t>
            </w:r>
            <w:r>
              <w:rPr>
                <w:rFonts w:hint="eastAsia"/>
                <w:color w:val="000000"/>
                <w:sz w:val="24"/>
                <w:szCs w:val="24"/>
              </w:rPr>
              <w:br w:type="textWrapping"/>
            </w:r>
            <w:r>
              <w:rPr>
                <w:rFonts w:hint="eastAsia"/>
                <w:color w:val="000000"/>
                <w:sz w:val="24"/>
                <w:szCs w:val="24"/>
              </w:rPr>
              <w:t>2、投标人需充分结合部建系统内容提供详细的系统技术方案，包括具体的功能模块设计说明，功能点原型图，同时为避免后续部省系统数据重复录入，需提供详细的技术解决方案。</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套</w:t>
            </w:r>
          </w:p>
        </w:tc>
        <w:tc>
          <w:tcPr>
            <w:tcW w:w="1590" w:type="dxa"/>
            <w:noWrap w:val="0"/>
            <w:vAlign w:val="center"/>
          </w:tcPr>
          <w:p>
            <w:pPr>
              <w:widowControl/>
              <w:jc w:val="left"/>
              <w:rPr>
                <w:rFonts w:hint="eastAsia" w:ascii="宋体" w:cs="宋体"/>
                <w:b/>
                <w:bCs/>
                <w:color w:val="000000"/>
                <w:kern w:val="0"/>
                <w:sz w:val="24"/>
                <w:szCs w:val="24"/>
                <w:lang w:bidi="ar-SA"/>
              </w:rPr>
            </w:pPr>
            <w:r>
              <w:rPr>
                <w:rFonts w:hint="eastAsia" w:ascii="宋体" w:cs="宋体"/>
                <w:b/>
                <w:bCs/>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3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退役军人综合信息数据库建库</w:t>
            </w:r>
          </w:p>
        </w:tc>
        <w:tc>
          <w:tcPr>
            <w:tcW w:w="5413" w:type="dxa"/>
            <w:noWrap w:val="0"/>
            <w:vAlign w:val="center"/>
          </w:tcPr>
          <w:p>
            <w:pPr>
              <w:widowControl/>
              <w:jc w:val="left"/>
              <w:rPr>
                <w:rFonts w:hint="eastAsia" w:ascii="宋体" w:cs="宋体"/>
                <w:color w:val="000000"/>
                <w:kern w:val="0"/>
                <w:sz w:val="24"/>
                <w:szCs w:val="24"/>
                <w:lang w:bidi="ar-SA"/>
              </w:rPr>
            </w:pPr>
            <w:r>
              <w:rPr>
                <w:rFonts w:hint="eastAsia"/>
                <w:color w:val="000000"/>
                <w:sz w:val="24"/>
                <w:szCs w:val="24"/>
              </w:rPr>
              <w:t>1、按照部省退役军人相关数据标准，围绕眉山市退役军人、机构单位、业务办理（权益维护、政策法规、移交安置、就业创业、优待抚恤、褒扬纪念、伤残军人）等要素主体和业务办理过程全面收集数据信息，构建眉山市退役军人机构单位数据库、眉山市退役军人和其他优抚对象数据库和决策分析和共享交换库在内的退役军人综合信息数据库。</w:t>
            </w:r>
            <w:r>
              <w:rPr>
                <w:rFonts w:hint="eastAsia"/>
                <w:color w:val="000000"/>
                <w:sz w:val="24"/>
                <w:szCs w:val="24"/>
              </w:rPr>
              <w:br w:type="textWrapping"/>
            </w:r>
            <w:r>
              <w:rPr>
                <w:color w:val="000000"/>
                <w:sz w:val="24"/>
                <w:szCs w:val="24"/>
              </w:rPr>
              <w:t>2</w:t>
            </w:r>
            <w:r>
              <w:rPr>
                <w:rFonts w:hint="eastAsia"/>
                <w:color w:val="000000"/>
                <w:sz w:val="24"/>
                <w:szCs w:val="24"/>
              </w:rPr>
              <w:t>、投标人需提供详细的建库方案，包括各个数据库的设计方案及字段表设计内容。</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项</w:t>
            </w:r>
          </w:p>
        </w:tc>
        <w:tc>
          <w:tcPr>
            <w:tcW w:w="1590" w:type="dxa"/>
            <w:noWrap w:val="0"/>
            <w:vAlign w:val="center"/>
          </w:tcPr>
          <w:p>
            <w:pPr>
              <w:widowControl/>
              <w:jc w:val="left"/>
              <w:rPr>
                <w:rFonts w:hint="eastAsia" w:ascii="宋体" w:cs="宋体"/>
                <w:b/>
                <w:bCs/>
                <w:color w:val="000000"/>
                <w:kern w:val="0"/>
                <w:sz w:val="24"/>
                <w:szCs w:val="24"/>
                <w:lang w:bidi="ar-SA"/>
              </w:rPr>
            </w:pPr>
            <w:r>
              <w:rPr>
                <w:rFonts w:hint="eastAsia" w:ascii="宋体" w:cs="宋体"/>
                <w:b/>
                <w:bCs/>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4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数据库软件</w:t>
            </w:r>
          </w:p>
        </w:tc>
        <w:tc>
          <w:tcPr>
            <w:tcW w:w="5413" w:type="dxa"/>
            <w:noWrap w:val="0"/>
            <w:vAlign w:val="center"/>
          </w:tcPr>
          <w:p>
            <w:pPr>
              <w:widowControl/>
              <w:jc w:val="left"/>
              <w:rPr>
                <w:rFonts w:hint="eastAsia" w:ascii="宋体" w:cs="宋体"/>
                <w:color w:val="000000"/>
                <w:kern w:val="0"/>
                <w:sz w:val="24"/>
                <w:szCs w:val="24"/>
                <w:lang w:bidi="ar-SA"/>
              </w:rPr>
            </w:pPr>
            <w:r>
              <w:rPr>
                <w:rFonts w:hint="eastAsia"/>
                <w:color w:val="000000"/>
                <w:sz w:val="24"/>
                <w:szCs w:val="24"/>
              </w:rPr>
              <w:t>1、环境要求：兼容多种硬件体系，可运行于龙芯系列，飞腾系列，申威系列，以及兆芯、鲲鹏、海光等多种不同CPU架构的服务器设备。兼容主流Linux如麒麟、UOS、中科方德、凝思、深之度、普华、思普等多种</w:t>
            </w:r>
            <w:r>
              <w:rPr>
                <w:rFonts w:hint="eastAsia"/>
                <w:color w:val="000000"/>
                <w:sz w:val="24"/>
                <w:szCs w:val="24"/>
                <w:lang w:eastAsia="zh-CN"/>
              </w:rPr>
              <w:t>主流</w:t>
            </w:r>
            <w:r>
              <w:rPr>
                <w:rFonts w:hint="eastAsia"/>
                <w:color w:val="000000"/>
                <w:sz w:val="24"/>
                <w:szCs w:val="24"/>
              </w:rPr>
              <w:t>Linux系列操作系统。</w:t>
            </w:r>
            <w:r>
              <w:rPr>
                <w:rFonts w:hint="eastAsia"/>
                <w:color w:val="000000"/>
                <w:sz w:val="24"/>
                <w:szCs w:val="24"/>
              </w:rPr>
              <w:br w:type="textWrapping"/>
            </w:r>
            <w:r>
              <w:rPr>
                <w:rFonts w:hint="eastAsia"/>
                <w:color w:val="000000"/>
                <w:sz w:val="24"/>
                <w:szCs w:val="24"/>
              </w:rPr>
              <w:t>2、功能描述：具备数据存储、访问控制、身份鉴别、安全审计和数据备份恢复等功能。产品部署在服务器，以后台服务形式运行，数据库管理员及用户在管理主机上通过图形化管理工具或命令行工具，可实现对数据对象（表、视图、约束、索引、触发器 、存储过程等）的配置管理；开发人员可通过标准化数据库访问接口，开发基于数据库的应用系统和软件产品；</w:t>
            </w:r>
            <w:r>
              <w:rPr>
                <w:rFonts w:hint="eastAsia"/>
                <w:color w:val="000000"/>
                <w:sz w:val="24"/>
                <w:szCs w:val="24"/>
              </w:rPr>
              <w:br w:type="textWrapping"/>
            </w:r>
            <w:r>
              <w:rPr>
                <w:rFonts w:hint="eastAsia"/>
                <w:color w:val="000000"/>
                <w:sz w:val="24"/>
                <w:szCs w:val="24"/>
              </w:rPr>
              <w:t>3、符合GB/T 30994-2014《关系数据库管理系统检测规范》、GB/T 28821-2012《关系数据库管理系统技术要求》和基础通用产品集群版数据库管理系统测试规范要求；</w:t>
            </w:r>
            <w:r>
              <w:rPr>
                <w:rFonts w:hint="eastAsia"/>
                <w:color w:val="000000"/>
                <w:sz w:val="24"/>
                <w:szCs w:val="24"/>
              </w:rPr>
              <w:br w:type="textWrapping"/>
            </w:r>
            <w:r>
              <w:rPr>
                <w:rFonts w:hint="eastAsia"/>
                <w:color w:val="000000"/>
                <w:sz w:val="24"/>
                <w:szCs w:val="24"/>
              </w:rPr>
              <w:t>4、支持全文检索，在单表1亿条数据的情况下进行模糊检索，前后模糊查询的检索时间&lt;0.7ms，前模糊查询时间&lt;0.6ms，后模糊查询的时间&lt;0.4ms；支持虚拟列，支持在虚拟列上建索引；支持自增列的创建、使用、删除操作，支持手工插入自增列；单机单实例TPC-C性能测试，测试持续时间60分钟，测试数据库性能指标可达到170万tpmC以上；单机支持12万以上的物理并发连接数，60小时以上不掉线；支持读写分离集群，在不破坏事务一致性前提下，具备 statment 级别转发功能；支持轮询、连接数、负载、权重四种负载分配算法；</w:t>
            </w:r>
            <w:r>
              <w:rPr>
                <w:rFonts w:hint="eastAsia"/>
                <w:color w:val="000000"/>
                <w:sz w:val="24"/>
                <w:szCs w:val="24"/>
              </w:rPr>
              <w:br w:type="textWrapping"/>
            </w:r>
            <w:r>
              <w:rPr>
                <w:rFonts w:hint="eastAsia"/>
                <w:color w:val="000000"/>
                <w:sz w:val="24"/>
                <w:szCs w:val="24"/>
              </w:rPr>
              <w:t>5、提供1年免费升级服务，7×24小时电话响应支持。根据</w:t>
            </w:r>
            <w:r>
              <w:rPr>
                <w:rFonts w:hint="eastAsia"/>
                <w:color w:val="000000"/>
                <w:sz w:val="24"/>
                <w:szCs w:val="24"/>
                <w:lang w:eastAsia="zh-CN"/>
              </w:rPr>
              <w:t>主流</w:t>
            </w:r>
            <w:r>
              <w:rPr>
                <w:rFonts w:hint="eastAsia"/>
                <w:color w:val="000000"/>
                <w:sz w:val="24"/>
                <w:szCs w:val="24"/>
              </w:rPr>
              <w:t>CPU芯片和操作系统升级，提供3年内免费适配服务。</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2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套</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2台数据库服务器，购置2套。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372" w:type="dxa"/>
            <w:gridSpan w:val="5"/>
            <w:noWrap w:val="0"/>
            <w:vAlign w:val="center"/>
          </w:tcPr>
          <w:p>
            <w:pPr>
              <w:widowControl/>
              <w:jc w:val="left"/>
              <w:rPr>
                <w:rFonts w:hint="eastAsia" w:ascii="宋体" w:cs="宋体"/>
                <w:b/>
                <w:bCs/>
                <w:color w:val="000000"/>
                <w:kern w:val="0"/>
                <w:sz w:val="24"/>
                <w:szCs w:val="24"/>
                <w:lang w:bidi="ar-SA"/>
              </w:rPr>
            </w:pPr>
            <w:r>
              <w:rPr>
                <w:rFonts w:hint="eastAsia" w:ascii="宋体" w:cs="宋体"/>
                <w:b/>
                <w:bCs/>
                <w:color w:val="000000"/>
                <w:kern w:val="0"/>
                <w:sz w:val="24"/>
                <w:szCs w:val="24"/>
                <w:lang w:bidi="ar-SA"/>
              </w:rPr>
              <w:t>（二）应用支撑平台</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1273" w:type="dxa"/>
            <w:noWrap w:val="0"/>
            <w:vAlign w:val="center"/>
          </w:tcPr>
          <w:p>
            <w:pPr>
              <w:widowControl/>
              <w:numPr>
                <w:ilvl w:val="0"/>
                <w:numId w:val="5"/>
              </w:numPr>
              <w:jc w:val="left"/>
              <w:rPr>
                <w:rFonts w:hint="eastAsia"/>
                <w:color w:val="000000"/>
                <w:sz w:val="24"/>
                <w:szCs w:val="24"/>
              </w:rPr>
            </w:pPr>
            <w:r>
              <w:rPr>
                <w:rFonts w:hint="eastAsia"/>
                <w:color w:val="000000"/>
                <w:sz w:val="24"/>
                <w:szCs w:val="24"/>
                <w:lang w:val="en-US" w:eastAsia="zh-CN"/>
              </w:rPr>
              <w:t>信息资源目录标准规范</w:t>
            </w:r>
          </w:p>
        </w:tc>
        <w:tc>
          <w:tcPr>
            <w:tcW w:w="5413" w:type="dxa"/>
            <w:noWrap w:val="0"/>
            <w:vAlign w:val="center"/>
          </w:tcPr>
          <w:p>
            <w:pPr>
              <w:widowControl/>
              <w:numPr>
                <w:ilvl w:val="0"/>
                <w:numId w:val="5"/>
              </w:numPr>
              <w:jc w:val="left"/>
              <w:rPr>
                <w:rFonts w:hint="eastAsia"/>
                <w:color w:val="000000"/>
                <w:sz w:val="24"/>
                <w:szCs w:val="24"/>
              </w:rPr>
            </w:pPr>
            <w:r>
              <w:rPr>
                <w:rFonts w:hint="eastAsia"/>
                <w:color w:val="000000"/>
                <w:sz w:val="24"/>
                <w:szCs w:val="24"/>
              </w:rPr>
              <w:t>1、通过构建覆盖全市退役军人信息资源体系的总体技术架构，采用元数据对共享的信息资源特征进行描述，编制形成统一规范信息资源目录，通过对目录内容的有效组织和管理，形成部门间数据资源物理分散、逻辑集中的信息共享模式，提供数据资源的发现定位服务，支持全市范围内跨部门、跨地区的普遍信息共享，方便用户发现、定位和共享多种形态的数据资源。</w:t>
            </w:r>
          </w:p>
          <w:p>
            <w:pPr>
              <w:widowControl/>
              <w:numPr>
                <w:ilvl w:val="0"/>
                <w:numId w:val="5"/>
              </w:numPr>
              <w:jc w:val="left"/>
              <w:rPr>
                <w:rFonts w:hint="eastAsia"/>
                <w:color w:val="000000"/>
                <w:sz w:val="24"/>
                <w:szCs w:val="24"/>
              </w:rPr>
            </w:pPr>
            <w:r>
              <w:rPr>
                <w:rFonts w:hint="eastAsia"/>
                <w:color w:val="000000"/>
                <w:sz w:val="24"/>
                <w:szCs w:val="24"/>
              </w:rPr>
              <w:t>2、围绕眉山市退役军人、机构单位、业务办理（权益维护、政策法规、移交安置、就业创业、优待抚恤、褒扬纪念、伤残军人）等要素主体和业务办理过程全面收集数据信息，梳理全部信息资源和数据项收集存储管理要求，建立涵盖眉山市退役军人事务系统全系统、全业务、全流程的数据标准体系。</w:t>
            </w:r>
          </w:p>
          <w:p>
            <w:pPr>
              <w:widowControl/>
              <w:numPr>
                <w:ilvl w:val="0"/>
                <w:numId w:val="5"/>
              </w:numPr>
              <w:jc w:val="left"/>
              <w:rPr>
                <w:rFonts w:hint="eastAsia"/>
                <w:color w:val="000000"/>
                <w:sz w:val="24"/>
                <w:szCs w:val="24"/>
              </w:rPr>
            </w:pPr>
            <w:r>
              <w:rPr>
                <w:rFonts w:hint="eastAsia"/>
                <w:color w:val="000000"/>
                <w:sz w:val="24"/>
                <w:szCs w:val="24"/>
              </w:rPr>
              <w:t>3、信息资源目录标准规范兼容眉山市数据资源目录系统标准，可实现资源目录的导入、导出。</w:t>
            </w:r>
          </w:p>
          <w:p>
            <w:pPr>
              <w:widowControl/>
              <w:numPr>
                <w:ilvl w:val="0"/>
                <w:numId w:val="5"/>
              </w:numPr>
              <w:jc w:val="left"/>
              <w:rPr>
                <w:rFonts w:hint="eastAsia"/>
                <w:color w:val="000000"/>
                <w:sz w:val="24"/>
                <w:szCs w:val="24"/>
              </w:rPr>
            </w:pPr>
            <w:r>
              <w:rPr>
                <w:rFonts w:hint="eastAsia"/>
                <w:color w:val="000000"/>
                <w:sz w:val="24"/>
                <w:szCs w:val="24"/>
              </w:rPr>
              <w:t>4、形成眉山市退役军人综合信息数据资源和相关业务信息资源目录规范。</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套</w:t>
            </w:r>
          </w:p>
        </w:tc>
        <w:tc>
          <w:tcPr>
            <w:tcW w:w="1590" w:type="dxa"/>
            <w:noWrap w:val="0"/>
            <w:vAlign w:val="center"/>
          </w:tcPr>
          <w:p>
            <w:pPr>
              <w:widowControl/>
              <w:jc w:val="left"/>
              <w:rPr>
                <w:rFonts w:hint="eastAsia" w:ascii="宋体" w:cs="宋体"/>
                <w:b/>
                <w:bCs/>
                <w:color w:val="000000"/>
                <w:kern w:val="0"/>
                <w:sz w:val="24"/>
                <w:szCs w:val="24"/>
                <w:lang w:bidi="ar-SA"/>
              </w:rPr>
            </w:pPr>
            <w:r>
              <w:rPr>
                <w:rFonts w:hint="eastAsia" w:ascii="宋体" w:cs="宋体"/>
                <w:b/>
                <w:bCs/>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2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元数据管理平台</w:t>
            </w:r>
          </w:p>
        </w:tc>
        <w:tc>
          <w:tcPr>
            <w:tcW w:w="5413" w:type="dxa"/>
            <w:noWrap w:val="0"/>
            <w:vAlign w:val="center"/>
          </w:tcPr>
          <w:p>
            <w:pPr>
              <w:widowControl/>
              <w:numPr>
                <w:ilvl w:val="0"/>
                <w:numId w:val="5"/>
              </w:numPr>
              <w:jc w:val="left"/>
              <w:rPr>
                <w:rFonts w:hint="eastAsia"/>
                <w:color w:val="000000"/>
                <w:sz w:val="24"/>
                <w:szCs w:val="24"/>
              </w:rPr>
            </w:pPr>
            <w:r>
              <w:rPr>
                <w:rFonts w:hint="eastAsia"/>
                <w:color w:val="000000"/>
                <w:sz w:val="24"/>
                <w:szCs w:val="24"/>
              </w:rPr>
              <w:t>通过元数据管理平台，建立一套行之有效的数据管理规范以及该规范的管控体系，保障数据的规范、准确和可用。总体功能包括元数据采集、元数据维护、元数据通知、元数据稽核、元数据比对、元数据检索、元数据地图等</w:t>
            </w:r>
            <w:r>
              <w:rPr>
                <w:rFonts w:hint="eastAsia"/>
                <w:color w:val="000000"/>
                <w:sz w:val="24"/>
                <w:szCs w:val="24"/>
              </w:rPr>
              <w:br w:type="textWrapping"/>
            </w:r>
            <w:r>
              <w:rPr>
                <w:rFonts w:hint="eastAsia"/>
                <w:color w:val="000000"/>
                <w:sz w:val="24"/>
                <w:szCs w:val="24"/>
              </w:rPr>
              <w:t>2、系统提供影响分析、血缘分析、全链分析、关联分析等功能，支持业务元数据和技术元数据关联关系自动解析，提供友好的图形展示分析功能。</w:t>
            </w:r>
            <w:r>
              <w:rPr>
                <w:rFonts w:hint="eastAsia"/>
                <w:color w:val="000000"/>
                <w:sz w:val="24"/>
                <w:szCs w:val="24"/>
              </w:rPr>
              <w:br w:type="textWrapping"/>
            </w:r>
            <w:r>
              <w:rPr>
                <w:color w:val="000000"/>
                <w:sz w:val="24"/>
                <w:szCs w:val="24"/>
              </w:rPr>
              <w:t>3</w:t>
            </w:r>
            <w:r>
              <w:rPr>
                <w:rFonts w:hint="eastAsia"/>
                <w:color w:val="000000"/>
                <w:sz w:val="24"/>
                <w:szCs w:val="24"/>
              </w:rPr>
              <w:t>、系统支持通过解析脚本，自动形成技术元数据之间的血缘、影响和全链关系。</w:t>
            </w:r>
            <w:r>
              <w:rPr>
                <w:rFonts w:hint="eastAsia"/>
                <w:color w:val="000000"/>
                <w:sz w:val="24"/>
                <w:szCs w:val="24"/>
              </w:rPr>
              <w:br w:type="textWrapping"/>
            </w:r>
            <w:r>
              <w:rPr>
                <w:color w:val="000000"/>
                <w:sz w:val="24"/>
                <w:szCs w:val="24"/>
              </w:rPr>
              <w:t>4</w:t>
            </w:r>
            <w:r>
              <w:rPr>
                <w:rFonts w:hint="eastAsia"/>
                <w:color w:val="000000"/>
                <w:sz w:val="24"/>
                <w:szCs w:val="24"/>
              </w:rPr>
              <w:t>、系统支持组件化、拖拽式的元数据质量稽核，包括对标稽核、一致性稽核、属性填充率稽核、重复性稽核、命名稽核，并形成稽核报告</w:t>
            </w:r>
          </w:p>
          <w:p>
            <w:pPr>
              <w:widowControl/>
              <w:numPr>
                <w:ilvl w:val="0"/>
                <w:numId w:val="0"/>
              </w:numPr>
              <w:jc w:val="left"/>
              <w:rPr>
                <w:rFonts w:hint="eastAsia" w:ascii="宋体" w:cs="宋体"/>
                <w:color w:val="000000"/>
                <w:kern w:val="0"/>
                <w:sz w:val="24"/>
                <w:szCs w:val="24"/>
                <w:lang w:bidi="ar-SA"/>
              </w:rPr>
            </w:pPr>
            <w:r>
              <w:rPr>
                <w:color w:val="000000"/>
                <w:sz w:val="24"/>
                <w:szCs w:val="24"/>
              </w:rPr>
              <w:t>5</w:t>
            </w:r>
            <w:r>
              <w:rPr>
                <w:rFonts w:hint="eastAsia"/>
                <w:color w:val="000000"/>
                <w:sz w:val="24"/>
                <w:szCs w:val="24"/>
              </w:rPr>
              <w:t>、系统支持以元数据为核心，对外提供统一元数据接口，智能驱动治理业务衔接，形成数据标准、质量标准、安全标准、服务标准。</w:t>
            </w:r>
            <w:r>
              <w:rPr>
                <w:rFonts w:hint="eastAsia"/>
                <w:color w:val="000000"/>
                <w:sz w:val="24"/>
                <w:szCs w:val="24"/>
              </w:rPr>
              <w:br w:type="textWrapping"/>
            </w:r>
            <w:r>
              <w:rPr>
                <w:color w:val="000000"/>
                <w:sz w:val="24"/>
                <w:szCs w:val="24"/>
              </w:rPr>
              <w:t>6</w:t>
            </w:r>
            <w:r>
              <w:rPr>
                <w:rFonts w:hint="eastAsia"/>
                <w:color w:val="000000"/>
                <w:sz w:val="24"/>
                <w:szCs w:val="24"/>
              </w:rPr>
              <w:t>、支持元模型自定义属性与接入资源和中心资源注册的表单结合，可根据配置的元模型属性自动生成表单。</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套</w:t>
            </w:r>
          </w:p>
        </w:tc>
        <w:tc>
          <w:tcPr>
            <w:tcW w:w="1590" w:type="dxa"/>
            <w:noWrap w:val="0"/>
            <w:vAlign w:val="center"/>
          </w:tcPr>
          <w:p>
            <w:pPr>
              <w:widowControl/>
              <w:jc w:val="left"/>
              <w:rPr>
                <w:rFonts w:hint="eastAsia" w:ascii="宋体" w:cs="宋体"/>
                <w:b/>
                <w:bCs/>
                <w:color w:val="000000"/>
                <w:kern w:val="0"/>
                <w:sz w:val="24"/>
                <w:szCs w:val="24"/>
                <w:lang w:bidi="ar-SA"/>
              </w:rPr>
            </w:pPr>
            <w:r>
              <w:rPr>
                <w:rFonts w:hint="eastAsia" w:ascii="宋体" w:cs="宋体"/>
                <w:b/>
                <w:bCs/>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3 </w:t>
            </w:r>
          </w:p>
        </w:tc>
        <w:tc>
          <w:tcPr>
            <w:tcW w:w="1273" w:type="dxa"/>
            <w:noWrap w:val="0"/>
            <w:vAlign w:val="center"/>
          </w:tcPr>
          <w:p>
            <w:pPr>
              <w:widowControl/>
              <w:jc w:val="left"/>
              <w:rPr>
                <w:rFonts w:hint="default"/>
                <w:color w:val="000000"/>
                <w:sz w:val="24"/>
                <w:szCs w:val="24"/>
                <w:lang w:val="en-US" w:eastAsia="zh-CN"/>
              </w:rPr>
            </w:pPr>
            <w:r>
              <w:rPr>
                <w:rFonts w:hint="eastAsia"/>
                <w:color w:val="000000"/>
                <w:sz w:val="24"/>
                <w:szCs w:val="24"/>
                <w:lang w:val="en-US" w:eastAsia="zh-CN"/>
              </w:rPr>
              <w:t>数据协同平台</w:t>
            </w:r>
          </w:p>
        </w:tc>
        <w:tc>
          <w:tcPr>
            <w:tcW w:w="5413" w:type="dxa"/>
            <w:noWrap w:val="0"/>
            <w:vAlign w:val="center"/>
          </w:tcPr>
          <w:p>
            <w:pPr>
              <w:widowControl/>
              <w:jc w:val="left"/>
              <w:rPr>
                <w:rFonts w:hint="eastAsia"/>
                <w:color w:val="000000"/>
                <w:sz w:val="24"/>
                <w:szCs w:val="24"/>
              </w:rPr>
            </w:pPr>
            <w:r>
              <w:rPr>
                <w:rFonts w:hint="eastAsia"/>
                <w:color w:val="000000"/>
                <w:sz w:val="24"/>
                <w:szCs w:val="24"/>
              </w:rPr>
              <w:t>1、数据协同平台建设纵向实现与省退役军人数据互联互通，横向实现与眉山市数据共享交换平台服务的交互共享和访问调度，以及实现实体数据的服务化封装、规范化授权和不同数据资源的透明化访问、一体化应用，为跨系统、跨部门、跨地区的信息共享、应用扩展、业务协同提供技术保障。数据协同平台包括数据交换管理和交换服务两部分内容，具体功能需包括：共享服务大厅、服务目录、服务管理中心、总线节点、运行监控、日志分析、服务开发等功能。</w:t>
            </w:r>
          </w:p>
          <w:p>
            <w:pPr>
              <w:widowControl/>
              <w:jc w:val="left"/>
              <w:rPr>
                <w:rFonts w:hint="eastAsia"/>
                <w:color w:val="000000"/>
                <w:sz w:val="24"/>
                <w:szCs w:val="24"/>
              </w:rPr>
            </w:pPr>
            <w:r>
              <w:rPr>
                <w:rFonts w:hint="eastAsia"/>
                <w:color w:val="000000"/>
                <w:sz w:val="24"/>
                <w:szCs w:val="24"/>
              </w:rPr>
              <w:t>2、支持基于最细粒度的数据共享接口：最小数据单元，即信息项，比如身份证，姓名等。以数据交换共享机制为依托，对信息项进行无条件共享和条件共享，以及不予共享。</w:t>
            </w:r>
          </w:p>
          <w:p>
            <w:pPr>
              <w:widowControl/>
              <w:jc w:val="left"/>
              <w:rPr>
                <w:rFonts w:hint="eastAsia"/>
                <w:color w:val="000000"/>
                <w:sz w:val="24"/>
                <w:szCs w:val="24"/>
              </w:rPr>
            </w:pPr>
            <w:r>
              <w:rPr>
                <w:rFonts w:hint="eastAsia"/>
                <w:color w:val="000000"/>
                <w:sz w:val="24"/>
                <w:szCs w:val="24"/>
              </w:rPr>
              <w:t>3、支持多种数据交换方式：系统内置各种数据交换组件、数据处理组件，如表交换、文件传输、SFTP上传下载、Http组件、清洗与转换组件，满足各种不同场景的数据传输交换需求。</w:t>
            </w:r>
          </w:p>
          <w:p>
            <w:pPr>
              <w:widowControl/>
              <w:jc w:val="left"/>
              <w:rPr>
                <w:rFonts w:hint="eastAsia"/>
                <w:color w:val="000000"/>
                <w:sz w:val="24"/>
                <w:szCs w:val="24"/>
              </w:rPr>
            </w:pPr>
            <w:r>
              <w:rPr>
                <w:rFonts w:hint="eastAsia"/>
                <w:color w:val="000000"/>
                <w:sz w:val="24"/>
                <w:szCs w:val="24"/>
              </w:rPr>
              <w:t>4、支持拖拽式方式设计流程，通过可视化操作界面自动生成满足业务需要的交换任务。支持定时和事件触发，通过检测执行时间、监听数据库、指定文件变化来触发调度，灵活进行数据抽取和交换。。</w:t>
            </w:r>
          </w:p>
          <w:p>
            <w:pPr>
              <w:widowControl/>
              <w:jc w:val="left"/>
              <w:rPr>
                <w:rFonts w:hint="eastAsia"/>
                <w:color w:val="000000"/>
                <w:sz w:val="24"/>
                <w:szCs w:val="24"/>
                <w:lang w:eastAsia="zh-CN"/>
              </w:rPr>
            </w:pPr>
            <w:r>
              <w:rPr>
                <w:rFonts w:hint="eastAsia"/>
                <w:color w:val="000000"/>
                <w:sz w:val="24"/>
                <w:szCs w:val="24"/>
              </w:rPr>
              <w:t>5、支持拥有的数据加密传输、断点续传、各种脱敏算法、数据权限与功能权限双重控制，让数据传输更安全可控，数据分区、并行装载技术让数据传输更高效快速</w:t>
            </w:r>
            <w:r>
              <w:rPr>
                <w:rFonts w:hint="eastAsia"/>
                <w:color w:val="000000"/>
                <w:sz w:val="24"/>
                <w:szCs w:val="24"/>
                <w:lang w:eastAsia="zh-CN"/>
              </w:rPr>
              <w:t>。</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套</w:t>
            </w:r>
          </w:p>
        </w:tc>
        <w:tc>
          <w:tcPr>
            <w:tcW w:w="1590" w:type="dxa"/>
            <w:noWrap w:val="0"/>
            <w:vAlign w:val="center"/>
          </w:tcPr>
          <w:p>
            <w:pPr>
              <w:widowControl/>
              <w:jc w:val="left"/>
              <w:rPr>
                <w:rFonts w:hint="eastAsia" w:ascii="宋体" w:cs="宋体"/>
                <w:b/>
                <w:bCs/>
                <w:color w:val="000000"/>
                <w:kern w:val="0"/>
                <w:sz w:val="24"/>
                <w:szCs w:val="24"/>
                <w:lang w:bidi="ar-SA"/>
              </w:rPr>
            </w:pPr>
            <w:r>
              <w:rPr>
                <w:rFonts w:hint="eastAsia" w:ascii="宋体" w:cs="宋体"/>
                <w:b/>
                <w:bCs/>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4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数据质量管理平台</w:t>
            </w:r>
          </w:p>
        </w:tc>
        <w:tc>
          <w:tcPr>
            <w:tcW w:w="5413" w:type="dxa"/>
            <w:noWrap w:val="0"/>
            <w:vAlign w:val="center"/>
          </w:tcPr>
          <w:p>
            <w:pPr>
              <w:widowControl/>
              <w:jc w:val="left"/>
              <w:rPr>
                <w:rFonts w:hint="eastAsia" w:ascii="宋体" w:cs="宋体"/>
                <w:color w:val="000000"/>
                <w:kern w:val="0"/>
                <w:sz w:val="24"/>
                <w:szCs w:val="24"/>
                <w:lang w:bidi="ar-SA"/>
              </w:rPr>
            </w:pPr>
            <w:r>
              <w:rPr>
                <w:rFonts w:hint="eastAsia"/>
                <w:color w:val="000000"/>
                <w:sz w:val="24"/>
                <w:szCs w:val="24"/>
              </w:rPr>
              <w:t>1、通过制定、实施数据质量检核，暴露各系统数据质量问题。持续监控各系统数据质量波动情况及数据质量规则占比分析，定期生成各系统关键数据质量报告，掌握系统数据质量状况。结合系统提供的清洗组件以及数据质量问题处理流程为各系统数据质量提升提供有效支撑。包括：数据质量模版需求管理、数据组件校验、数据SQL校验、智能生成任务、质量任务调度、数据问题详情、数据质量分析报告等功能。</w:t>
            </w:r>
            <w:r>
              <w:rPr>
                <w:rFonts w:hint="eastAsia"/>
                <w:color w:val="000000"/>
                <w:sz w:val="24"/>
                <w:szCs w:val="24"/>
              </w:rPr>
              <w:br w:type="textWrapping"/>
            </w:r>
            <w:r>
              <w:rPr>
                <w:color w:val="000000"/>
                <w:sz w:val="24"/>
                <w:szCs w:val="24"/>
              </w:rPr>
              <w:t>2</w:t>
            </w:r>
            <w:r>
              <w:rPr>
                <w:rFonts w:hint="eastAsia"/>
                <w:color w:val="000000"/>
                <w:sz w:val="24"/>
                <w:szCs w:val="24"/>
              </w:rPr>
              <w:t>、系统支持双引擎模式，针对不同数据量的质量任务提供分布式任务和集群任务同时设计、运行、输出质量报告。</w:t>
            </w:r>
            <w:r>
              <w:rPr>
                <w:rFonts w:hint="eastAsia"/>
                <w:color w:val="000000"/>
                <w:sz w:val="24"/>
                <w:szCs w:val="24"/>
              </w:rPr>
              <w:br w:type="textWrapping"/>
            </w:r>
            <w:r>
              <w:rPr>
                <w:color w:val="000000"/>
                <w:sz w:val="24"/>
                <w:szCs w:val="24"/>
              </w:rPr>
              <w:t>3</w:t>
            </w:r>
            <w:r>
              <w:rPr>
                <w:rFonts w:hint="eastAsia"/>
                <w:color w:val="000000"/>
                <w:sz w:val="24"/>
                <w:szCs w:val="24"/>
              </w:rPr>
              <w:t>、系统支持识别技术元数据与业务元数据的关系，智能生成待治理表的质量规则，智能生成质量规则包括数据格式校验、值域校验、数据范围校验、正则表达式校验、空值校验。</w:t>
            </w:r>
            <w:r>
              <w:rPr>
                <w:rFonts w:hint="eastAsia"/>
                <w:color w:val="000000"/>
                <w:sz w:val="24"/>
                <w:szCs w:val="24"/>
              </w:rPr>
              <w:br w:type="textWrapping"/>
            </w:r>
            <w:r>
              <w:rPr>
                <w:rFonts w:hint="eastAsia"/>
                <w:color w:val="000000"/>
                <w:sz w:val="24"/>
                <w:szCs w:val="24"/>
              </w:rPr>
              <w:t>4、系统内置不少于15种数据校验组件，支持拖拽的方式快速构建各种数据校验流程化设计。校验组件涵盖数据格式校验、数据范围校验、正则表达式、值域校验、字段值缺失、唯一性校验、记录数缺失、Switch/case、主外键一致性校验、字段值比对、身份证校验、及时性校验、精度校验、JavaScript、Java；支持校验规则的自定义，支持校验流程分支设计。</w:t>
            </w:r>
            <w:r>
              <w:rPr>
                <w:rFonts w:hint="eastAsia"/>
                <w:color w:val="000000"/>
                <w:sz w:val="24"/>
                <w:szCs w:val="24"/>
              </w:rPr>
              <w:br w:type="textWrapping"/>
            </w:r>
            <w:r>
              <w:rPr>
                <w:rFonts w:hint="eastAsia"/>
                <w:color w:val="000000"/>
                <w:sz w:val="24"/>
                <w:szCs w:val="24"/>
              </w:rPr>
              <w:t>5、系统支持问题数据闭环流程处理：问题数据综合治理，可通过邮件通知数据责任方，及时处理，已修复的问题数据将在下一次调度周期内重新校验。</w:t>
            </w:r>
            <w:r>
              <w:rPr>
                <w:rFonts w:hint="eastAsia"/>
                <w:color w:val="000000"/>
                <w:sz w:val="24"/>
                <w:szCs w:val="24"/>
              </w:rPr>
              <w:br w:type="textWrapping"/>
            </w:r>
            <w:r>
              <w:rPr>
                <w:color w:val="000000"/>
                <w:sz w:val="24"/>
                <w:szCs w:val="24"/>
              </w:rPr>
              <w:t>6</w:t>
            </w:r>
            <w:r>
              <w:rPr>
                <w:rFonts w:hint="eastAsia"/>
                <w:color w:val="000000"/>
                <w:sz w:val="24"/>
                <w:szCs w:val="24"/>
              </w:rPr>
              <w:t>、系统支持配置数据质量任务告警规则，在质量运行过程中，达到规则设置的告警阈值，则通过站内或者邮件方式发送告警信息。数据质量告警规则包括设置空值校验、记录数缺失校验、字段值比对、数据范围校验、正则表达式的告警阈值配置。</w:t>
            </w:r>
            <w:r>
              <w:rPr>
                <w:rFonts w:hint="eastAsia"/>
                <w:color w:val="000000"/>
                <w:sz w:val="24"/>
                <w:szCs w:val="24"/>
              </w:rPr>
              <w:br w:type="textWrapping"/>
            </w:r>
            <w:r>
              <w:rPr>
                <w:rFonts w:hint="eastAsia"/>
                <w:color w:val="000000"/>
                <w:sz w:val="24"/>
                <w:szCs w:val="24"/>
              </w:rPr>
              <w:t>7、系统可以针对数据进行准确性、完整性、唯一性等类别进行自动识别，自动生成质量报告，提升数据管理水平。可按照年、月、季度等时间维度，也可按照每个数据源的维度生成质量报告，支持质量报告的下载，格式支持word、pdf、html。</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套</w:t>
            </w:r>
          </w:p>
        </w:tc>
        <w:tc>
          <w:tcPr>
            <w:tcW w:w="1590" w:type="dxa"/>
            <w:noWrap w:val="0"/>
            <w:vAlign w:val="center"/>
          </w:tcPr>
          <w:p>
            <w:pPr>
              <w:widowControl/>
              <w:jc w:val="left"/>
              <w:rPr>
                <w:rFonts w:hint="eastAsia" w:ascii="宋体" w:cs="宋体"/>
                <w:b/>
                <w:bCs/>
                <w:color w:val="000000"/>
                <w:kern w:val="0"/>
                <w:sz w:val="24"/>
                <w:szCs w:val="24"/>
                <w:lang w:bidi="ar-SA"/>
              </w:rPr>
            </w:pPr>
            <w:r>
              <w:rPr>
                <w:rFonts w:hint="eastAsia" w:ascii="宋体" w:cs="宋体"/>
                <w:b/>
                <w:bCs/>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5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大数据分析及可视化系统</w:t>
            </w:r>
          </w:p>
        </w:tc>
        <w:tc>
          <w:tcPr>
            <w:tcW w:w="5413" w:type="dxa"/>
            <w:noWrap w:val="0"/>
            <w:vAlign w:val="center"/>
          </w:tcPr>
          <w:p>
            <w:pPr>
              <w:widowControl/>
              <w:jc w:val="left"/>
              <w:rPr>
                <w:rFonts w:hint="eastAsia" w:ascii="宋体" w:cs="宋体"/>
                <w:color w:val="000000"/>
                <w:kern w:val="0"/>
                <w:sz w:val="24"/>
                <w:szCs w:val="24"/>
                <w:lang w:bidi="ar-SA"/>
              </w:rPr>
            </w:pPr>
            <w:r>
              <w:rPr>
                <w:rFonts w:hint="eastAsia"/>
                <w:color w:val="000000"/>
                <w:sz w:val="24"/>
                <w:szCs w:val="24"/>
              </w:rPr>
              <w:t>1、在退役军人数据可视化分析的过程中，通过数据可视化平台“所见即所得，所想即所需”的平台特点，实现退役军人信息化工作开展情况的数据可视化分析展现，包括建设退役军人画像、就业创业专题应用、优待抚恤专题应用、移交安置专题应用、军休安置专题应用、政策法规及权益维护专题应用。具体包括：WEB开发管理、挖掘算法、关系网络分析、R语言、数据源接口、数据概览、自助式图形化数据探索、数据预处理、数据建模、模型评估、多模型管理、可视化部署模型应用、数据挖掘计划任务、用户及权限管理和可视化运营监控等功能。</w:t>
            </w:r>
            <w:r>
              <w:rPr>
                <w:rFonts w:hint="eastAsia"/>
                <w:color w:val="000000"/>
                <w:sz w:val="24"/>
                <w:szCs w:val="24"/>
              </w:rPr>
              <w:br w:type="textWrapping"/>
            </w:r>
            <w:r>
              <w:rPr>
                <w:color w:val="000000"/>
                <w:sz w:val="24"/>
                <w:szCs w:val="24"/>
              </w:rPr>
              <w:t>2</w:t>
            </w:r>
            <w:r>
              <w:rPr>
                <w:rFonts w:hint="eastAsia"/>
                <w:color w:val="000000"/>
                <w:sz w:val="24"/>
                <w:szCs w:val="24"/>
              </w:rPr>
              <w:t>、平台支持多种动态样式效果设计能力，静态和动态页面背景、静态和动态的边框组件、动态3D装饰组件，提供系统软件中对于这三类动态效果的选择和配置页面截图证明。</w:t>
            </w:r>
            <w:r>
              <w:rPr>
                <w:rFonts w:hint="eastAsia"/>
                <w:color w:val="000000"/>
                <w:sz w:val="24"/>
                <w:szCs w:val="24"/>
              </w:rPr>
              <w:br w:type="textWrapping"/>
            </w:r>
            <w:r>
              <w:rPr>
                <w:rFonts w:hint="eastAsia"/>
                <w:color w:val="000000"/>
                <w:sz w:val="24"/>
                <w:szCs w:val="24"/>
              </w:rPr>
              <w:t>3、系统提供各类图表组件包括：基本的图表组件，同时还支持导向关系图、填充气泡图、笛卡尔坐标系热力图、视频组件、3D柱状图、3D散点图、3D全景图以及地图组件。</w:t>
            </w:r>
            <w:r>
              <w:rPr>
                <w:rFonts w:hint="eastAsia"/>
                <w:color w:val="000000"/>
                <w:sz w:val="24"/>
                <w:szCs w:val="24"/>
              </w:rPr>
              <w:br w:type="textWrapping"/>
            </w:r>
            <w:r>
              <w:rPr>
                <w:color w:val="000000"/>
                <w:sz w:val="24"/>
                <w:szCs w:val="24"/>
              </w:rPr>
              <w:t>4</w:t>
            </w:r>
            <w:r>
              <w:rPr>
                <w:rFonts w:hint="eastAsia"/>
                <w:color w:val="000000"/>
                <w:sz w:val="24"/>
                <w:szCs w:val="24"/>
              </w:rPr>
              <w:t>、系统支持事件动作：联动、跳转、弹出窗口、关闭窗口、服务调用动作。并支持采用Javascript、JSON等脚本语言进行自定义动作编程。同一事件支持多个事件响应，每个事件响应可联动不同的组件，提供系统软件中事件配置的界面截图。</w:t>
            </w:r>
            <w:r>
              <w:rPr>
                <w:rFonts w:hint="eastAsia"/>
                <w:color w:val="000000"/>
                <w:sz w:val="24"/>
                <w:szCs w:val="24"/>
              </w:rPr>
              <w:br w:type="textWrapping"/>
            </w:r>
            <w:r>
              <w:rPr>
                <w:color w:val="000000"/>
                <w:sz w:val="24"/>
                <w:szCs w:val="24"/>
              </w:rPr>
              <w:t>5</w:t>
            </w:r>
            <w:r>
              <w:rPr>
                <w:rFonts w:hint="eastAsia"/>
                <w:color w:val="000000"/>
                <w:sz w:val="24"/>
                <w:szCs w:val="24"/>
              </w:rPr>
              <w:t>、系统支持将制图软件设计出的psd源文件导入到编辑器中，直接生成相应的页面，自动将图中的组件识别出来，并设置好位置、颜色。</w:t>
            </w:r>
            <w:r>
              <w:rPr>
                <w:rFonts w:hint="eastAsia"/>
                <w:color w:val="000000"/>
                <w:sz w:val="24"/>
                <w:szCs w:val="24"/>
              </w:rPr>
              <w:br w:type="textWrapping"/>
            </w:r>
            <w:r>
              <w:rPr>
                <w:color w:val="000000"/>
                <w:sz w:val="24"/>
                <w:szCs w:val="24"/>
              </w:rPr>
              <w:t>6</w:t>
            </w:r>
            <w:r>
              <w:rPr>
                <w:rFonts w:hint="eastAsia"/>
                <w:color w:val="000000"/>
                <w:sz w:val="24"/>
                <w:szCs w:val="24"/>
              </w:rPr>
              <w:t>、系统支持SQL编辑界面，可使用SQL语法构建数据模型，支持查看数据模型运行结果、运行日志及运行记录，支持对数据模型进行分类管理。</w:t>
            </w:r>
            <w:r>
              <w:rPr>
                <w:rFonts w:hint="eastAsia"/>
                <w:color w:val="000000"/>
                <w:sz w:val="24"/>
                <w:szCs w:val="24"/>
              </w:rPr>
              <w:br w:type="textWrapping"/>
            </w:r>
            <w:r>
              <w:rPr>
                <w:color w:val="000000"/>
                <w:sz w:val="24"/>
                <w:szCs w:val="24"/>
              </w:rPr>
              <w:t>7</w:t>
            </w:r>
            <w:r>
              <w:rPr>
                <w:rFonts w:hint="eastAsia"/>
                <w:color w:val="000000"/>
                <w:sz w:val="24"/>
                <w:szCs w:val="24"/>
              </w:rPr>
              <w:t>、系统支持多种分布式可视化机器学习算法，支持训练分类、回归、时序、聚类、协同过滤、频繁模式挖掘、多层感知机等模型，支持决策树分类、逻辑回归分类、随机森林分类、梯度渐进树分类、支持向量机分类SVM、朴素贝叶斯分类、一对多法分类、线性回归、广义线性回归、决策树回归、随机森林回归、梯度渐进树回归、生存回归、保序回归、K均值聚类、GMM高斯混合模型、DBSCAN密度聚类、Canopy聚类、二分K均值、协同过滤、Fp-growth关联分析、关联规则、序列模式挖掘、简单指数平滑法、ARIMA、Auto Arima、三次指数平滑法、多层感知机（MLP）。</w:t>
            </w:r>
            <w:r>
              <w:rPr>
                <w:rFonts w:hint="eastAsia"/>
                <w:color w:val="000000"/>
                <w:sz w:val="24"/>
                <w:szCs w:val="24"/>
              </w:rPr>
              <w:br w:type="textWrapping"/>
            </w:r>
            <w:r>
              <w:rPr>
                <w:rFonts w:hint="eastAsia"/>
                <w:color w:val="000000"/>
                <w:sz w:val="24"/>
                <w:szCs w:val="24"/>
              </w:rPr>
              <w:t>8、系统支持的完善项目及模型管理，支持创建项目、子项目、对项目进行移动、删除、重命名、查找操作，支持将项目以ZIP包方式进行导入及导出，支持对已训练模型进行分类管理及版本管理，支持将模型以PMML及Jar包方式导入、导出，支持对不同版本模型进行一键发布应用，支持将模型发布为Web服务，并对发布模型设置驱动器内存、执行者数量、执行者内存、执行者内核等运行资源，模型发布支持自动审核及手动审核。</w:t>
            </w:r>
            <w:r>
              <w:rPr>
                <w:rFonts w:hint="eastAsia"/>
                <w:color w:val="000000"/>
                <w:sz w:val="24"/>
                <w:szCs w:val="24"/>
              </w:rPr>
              <w:br w:type="textWrapping"/>
            </w:r>
            <w:r>
              <w:rPr>
                <w:color w:val="000000"/>
                <w:sz w:val="24"/>
                <w:szCs w:val="24"/>
              </w:rPr>
              <w:t>9</w:t>
            </w:r>
            <w:r>
              <w:rPr>
                <w:rFonts w:hint="eastAsia"/>
                <w:color w:val="000000"/>
                <w:sz w:val="24"/>
                <w:szCs w:val="24"/>
              </w:rPr>
              <w:t>、可视化应用建设：可通过数据可视化平台，通过拖拉拽的，无需代码开发方式搭建专题应用，本次建设包括退役军人画像、就业创业专题应用、优待抚恤专题应用、移交安置专题应用、军休安置专题应用、政策法规及权益维护专题应用，提供专题应用设计详细的技术方案。</w:t>
            </w:r>
            <w:r>
              <w:rPr>
                <w:rFonts w:hint="eastAsia"/>
                <w:color w:val="000000"/>
                <w:sz w:val="24"/>
                <w:szCs w:val="24"/>
              </w:rPr>
              <w:br w:type="textWrapping"/>
            </w:r>
            <w:r>
              <w:rPr>
                <w:rFonts w:hint="eastAsia"/>
                <w:color w:val="000000"/>
                <w:sz w:val="24"/>
                <w:szCs w:val="24"/>
              </w:rPr>
              <w:t>1</w:t>
            </w:r>
            <w:r>
              <w:rPr>
                <w:color w:val="000000"/>
                <w:sz w:val="24"/>
                <w:szCs w:val="24"/>
              </w:rPr>
              <w:t>0</w:t>
            </w:r>
            <w:r>
              <w:rPr>
                <w:rFonts w:hint="eastAsia"/>
                <w:color w:val="000000"/>
                <w:sz w:val="24"/>
                <w:szCs w:val="24"/>
              </w:rPr>
              <w:t>、★数据可视化系统软件具备适配（产品兼容互认证明）</w:t>
            </w:r>
            <w:r>
              <w:rPr>
                <w:rFonts w:hint="eastAsia"/>
                <w:color w:val="000000"/>
                <w:sz w:val="24"/>
                <w:szCs w:val="24"/>
                <w:lang w:val="en-US" w:eastAsia="zh-CN"/>
              </w:rPr>
              <w:t>主流</w:t>
            </w:r>
            <w:r>
              <w:rPr>
                <w:rFonts w:hint="eastAsia"/>
                <w:color w:val="000000"/>
                <w:sz w:val="24"/>
                <w:szCs w:val="24"/>
              </w:rPr>
              <w:t>操作系统（如：中标麒麟、银河麒麟）认证证书</w:t>
            </w:r>
            <w:r>
              <w:rPr>
                <w:rFonts w:hint="eastAsia"/>
                <w:color w:val="000000"/>
                <w:sz w:val="24"/>
                <w:szCs w:val="24"/>
                <w:lang w:val="en-US" w:eastAsia="zh-Hans"/>
              </w:rPr>
              <w:t>或提供相关技术能力承诺</w:t>
            </w:r>
            <w:r>
              <w:rPr>
                <w:rFonts w:hint="eastAsia"/>
                <w:color w:val="000000"/>
                <w:sz w:val="24"/>
                <w:szCs w:val="24"/>
              </w:rPr>
              <w:t>。</w:t>
            </w:r>
            <w:r>
              <w:rPr>
                <w:rFonts w:hint="eastAsia"/>
                <w:color w:val="000000"/>
                <w:sz w:val="24"/>
                <w:szCs w:val="24"/>
              </w:rPr>
              <w:br w:type="textWrapping"/>
            </w:r>
            <w:r>
              <w:rPr>
                <w:rFonts w:hint="eastAsia"/>
                <w:color w:val="000000"/>
                <w:sz w:val="24"/>
                <w:szCs w:val="24"/>
              </w:rPr>
              <w:t>11、★数据可视化系统软件支持运行在</w:t>
            </w:r>
            <w:r>
              <w:rPr>
                <w:rFonts w:hint="eastAsia"/>
                <w:color w:val="000000"/>
                <w:sz w:val="24"/>
                <w:szCs w:val="24"/>
                <w:lang w:eastAsia="zh-CN"/>
              </w:rPr>
              <w:t>主流</w:t>
            </w:r>
            <w:r>
              <w:rPr>
                <w:rFonts w:hint="eastAsia"/>
                <w:color w:val="000000"/>
                <w:sz w:val="24"/>
                <w:szCs w:val="24"/>
              </w:rPr>
              <w:t>芯片</w:t>
            </w:r>
            <w:r>
              <w:rPr>
                <w:rFonts w:hint="eastAsia"/>
                <w:color w:val="000000"/>
                <w:sz w:val="24"/>
                <w:szCs w:val="24"/>
                <w:lang w:eastAsia="zh-CN"/>
              </w:rPr>
              <w:t>主流</w:t>
            </w:r>
            <w:r>
              <w:rPr>
                <w:rFonts w:hint="eastAsia"/>
                <w:color w:val="000000"/>
                <w:sz w:val="24"/>
                <w:szCs w:val="24"/>
              </w:rPr>
              <w:t>服务器上。提供适配</w:t>
            </w:r>
            <w:r>
              <w:rPr>
                <w:rFonts w:hint="eastAsia"/>
                <w:color w:val="000000"/>
                <w:sz w:val="24"/>
                <w:szCs w:val="24"/>
                <w:lang w:val="en-US" w:eastAsia="zh-CN"/>
              </w:rPr>
              <w:t>主流</w:t>
            </w:r>
            <w:r>
              <w:rPr>
                <w:rFonts w:hint="eastAsia"/>
                <w:color w:val="000000"/>
                <w:sz w:val="24"/>
                <w:szCs w:val="24"/>
              </w:rPr>
              <w:t>芯片的（产品兼容互认证明）</w:t>
            </w:r>
            <w:r>
              <w:rPr>
                <w:rFonts w:hint="eastAsia"/>
                <w:color w:val="000000"/>
                <w:sz w:val="24"/>
                <w:szCs w:val="24"/>
                <w:lang w:val="en-US" w:eastAsia="zh-CN"/>
              </w:rPr>
              <w:t>主流</w:t>
            </w:r>
            <w:r>
              <w:rPr>
                <w:rFonts w:hint="eastAsia"/>
                <w:color w:val="000000"/>
                <w:sz w:val="24"/>
                <w:szCs w:val="24"/>
              </w:rPr>
              <w:t>芯片（如：龙芯、兆芯飞腾）互认认证证书</w:t>
            </w:r>
            <w:r>
              <w:rPr>
                <w:rFonts w:hint="eastAsia"/>
                <w:color w:val="000000"/>
                <w:sz w:val="24"/>
                <w:szCs w:val="24"/>
                <w:lang w:val="en-US" w:eastAsia="zh-Hans"/>
              </w:rPr>
              <w:t>或提供相关技术能力承诺</w:t>
            </w:r>
            <w:r>
              <w:rPr>
                <w:rFonts w:hint="eastAsia"/>
                <w:color w:val="000000"/>
                <w:sz w:val="24"/>
                <w:szCs w:val="24"/>
              </w:rPr>
              <w:t>。</w:t>
            </w:r>
            <w:r>
              <w:rPr>
                <w:rFonts w:hint="eastAsia"/>
                <w:color w:val="000000"/>
                <w:sz w:val="24"/>
                <w:szCs w:val="24"/>
              </w:rPr>
              <w:br w:type="textWrapping"/>
            </w:r>
            <w:r>
              <w:rPr>
                <w:rFonts w:hint="eastAsia"/>
                <w:color w:val="000000"/>
                <w:sz w:val="24"/>
                <w:szCs w:val="24"/>
              </w:rPr>
              <w:t>12、★数据可视化系统软件支持接入主流关系型数据库、MPP数据库的数据，系统具备适配（产品兼容互认证明）</w:t>
            </w:r>
            <w:r>
              <w:rPr>
                <w:rFonts w:hint="eastAsia"/>
                <w:color w:val="000000"/>
                <w:sz w:val="24"/>
                <w:szCs w:val="24"/>
                <w:lang w:val="en-US" w:eastAsia="zh-CN"/>
              </w:rPr>
              <w:t>主流</w:t>
            </w:r>
            <w:r>
              <w:rPr>
                <w:rFonts w:hint="eastAsia"/>
                <w:color w:val="000000"/>
                <w:sz w:val="24"/>
                <w:szCs w:val="24"/>
              </w:rPr>
              <w:t>数据库（如：达梦、人大金仓、神州通用）认证证书</w:t>
            </w:r>
            <w:r>
              <w:rPr>
                <w:rFonts w:hint="eastAsia"/>
                <w:color w:val="000000"/>
                <w:sz w:val="24"/>
                <w:szCs w:val="24"/>
                <w:lang w:val="en-US" w:eastAsia="zh-Hans"/>
              </w:rPr>
              <w:t>或提供相关技术能力承诺</w:t>
            </w:r>
            <w:r>
              <w:rPr>
                <w:rFonts w:hint="eastAsia"/>
                <w:color w:val="000000"/>
                <w:sz w:val="24"/>
                <w:szCs w:val="24"/>
              </w:rPr>
              <w:t>。</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套</w:t>
            </w:r>
          </w:p>
        </w:tc>
        <w:tc>
          <w:tcPr>
            <w:tcW w:w="1590" w:type="dxa"/>
            <w:noWrap w:val="0"/>
            <w:vAlign w:val="center"/>
          </w:tcPr>
          <w:p>
            <w:pPr>
              <w:widowControl/>
              <w:jc w:val="left"/>
              <w:rPr>
                <w:rFonts w:hint="eastAsia" w:ascii="宋体" w:cs="宋体"/>
                <w:b/>
                <w:bCs/>
                <w:color w:val="000000"/>
                <w:kern w:val="0"/>
                <w:sz w:val="24"/>
                <w:szCs w:val="24"/>
                <w:lang w:bidi="ar-SA"/>
              </w:rPr>
            </w:pPr>
            <w:r>
              <w:rPr>
                <w:rFonts w:hint="eastAsia" w:ascii="宋体" w:cs="宋体"/>
                <w:b/>
                <w:bCs/>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6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统一门户管理系统</w:t>
            </w:r>
          </w:p>
        </w:tc>
        <w:tc>
          <w:tcPr>
            <w:tcW w:w="5413" w:type="dxa"/>
            <w:noWrap w:val="0"/>
            <w:vAlign w:val="center"/>
          </w:tcPr>
          <w:p>
            <w:pPr>
              <w:widowControl/>
              <w:jc w:val="left"/>
              <w:rPr>
                <w:rFonts w:hint="eastAsia" w:ascii="宋体" w:cs="宋体"/>
                <w:color w:val="000000"/>
                <w:kern w:val="0"/>
                <w:sz w:val="24"/>
                <w:szCs w:val="24"/>
                <w:lang w:bidi="ar-SA"/>
              </w:rPr>
            </w:pPr>
            <w:r>
              <w:rPr>
                <w:rFonts w:hint="eastAsia"/>
                <w:color w:val="000000"/>
                <w:sz w:val="24"/>
                <w:szCs w:val="24"/>
              </w:rPr>
              <w:t>统一门户通过构建一个全市范围内各级工作人员共同使用的工作门户平台，整合现有业务系统的访问控制，通过单点登录实现对各业务工作平台的集中访问，登录用户通过统一的门户可在一个桌面上实现各项业务办理、处理和审批操作，减少系统使用复杂度。本次针对眉山市全市各级退役军人部门和服务中心（站）工作人员内部工作及管理，建设统一门户管理系统，集成各类应用系统，实现个人门户、单点登录、WEB展示、知识共享、应用集成和搜索引擎等功能。</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套</w:t>
            </w:r>
          </w:p>
        </w:tc>
        <w:tc>
          <w:tcPr>
            <w:tcW w:w="1590" w:type="dxa"/>
            <w:noWrap w:val="0"/>
            <w:vAlign w:val="center"/>
          </w:tcPr>
          <w:p>
            <w:pPr>
              <w:widowControl/>
              <w:jc w:val="left"/>
              <w:rPr>
                <w:rFonts w:hint="eastAsia" w:ascii="宋体" w:cs="宋体"/>
                <w:b/>
                <w:bCs/>
                <w:color w:val="000000"/>
                <w:kern w:val="0"/>
                <w:sz w:val="24"/>
                <w:szCs w:val="24"/>
                <w:lang w:bidi="ar-SA"/>
              </w:rPr>
            </w:pPr>
            <w:r>
              <w:rPr>
                <w:rFonts w:hint="eastAsia" w:ascii="宋体" w:cs="宋体"/>
                <w:b/>
                <w:bCs/>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7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门户中间件</w:t>
            </w:r>
          </w:p>
        </w:tc>
        <w:tc>
          <w:tcPr>
            <w:tcW w:w="5413" w:type="dxa"/>
            <w:noWrap w:val="0"/>
            <w:vAlign w:val="center"/>
          </w:tcPr>
          <w:p>
            <w:pPr>
              <w:widowControl/>
              <w:jc w:val="left"/>
              <w:rPr>
                <w:rFonts w:hint="eastAsia" w:ascii="宋体" w:cs="宋体"/>
                <w:color w:val="000000"/>
                <w:kern w:val="0"/>
                <w:sz w:val="24"/>
                <w:szCs w:val="24"/>
                <w:lang w:bidi="ar-SA"/>
              </w:rPr>
            </w:pPr>
            <w:r>
              <w:rPr>
                <w:rFonts w:hint="eastAsia"/>
                <w:color w:val="000000"/>
                <w:sz w:val="24"/>
                <w:szCs w:val="24"/>
              </w:rPr>
              <w:t>1、产品需具备完整的Web容器、EJB容器、EJB实例池、JDBC连接池和Web Service服务等支持，为上层应用提供运行环境；提供Eclipse、IDEA开发插件，支持图形化应用开发与调试；提供对中文编码问题的容错性，包括JSP页面、URL请求、Cookie等中文容错支持；兼容多种开源框架，包括：Struts2，Spring，Hibernate、Springboot等，提供可配置的类加载策略；提供应用移植、一键式安装命令行、类加载冲突检测等工具，提高了产品安装、应用部署和移植、管理的易用性；支持高性能集群，支持Web层的集群和EJB集群，提供独立的会话管理器；具备强大的安全能力，支持JAAS方式的认证和授权，支持SSL、TLS等常用传输层协议，支持三员分立、国密算法、防篡改、防DOS攻击等；支持龙芯、飞腾、华为鲲鹏、海光、兆芯、申威等</w:t>
            </w:r>
            <w:r>
              <w:rPr>
                <w:rFonts w:hint="eastAsia"/>
                <w:color w:val="000000"/>
                <w:sz w:val="24"/>
                <w:szCs w:val="24"/>
                <w:lang w:val="en-US" w:eastAsia="zh-CN"/>
              </w:rPr>
              <w:t>主流</w:t>
            </w:r>
            <w:r>
              <w:rPr>
                <w:rFonts w:hint="eastAsia"/>
                <w:color w:val="000000"/>
                <w:sz w:val="24"/>
                <w:szCs w:val="24"/>
              </w:rPr>
              <w:t>芯片；支持中标麒麟、银河麒麟、统信UOS、深度、中电科普华、中科方德等</w:t>
            </w:r>
            <w:r>
              <w:rPr>
                <w:rFonts w:hint="eastAsia"/>
                <w:color w:val="000000"/>
                <w:sz w:val="24"/>
                <w:szCs w:val="24"/>
                <w:lang w:eastAsia="zh-CN"/>
              </w:rPr>
              <w:t>主流</w:t>
            </w:r>
            <w:r>
              <w:rPr>
                <w:rFonts w:hint="eastAsia"/>
                <w:color w:val="000000"/>
                <w:sz w:val="24"/>
                <w:szCs w:val="24"/>
              </w:rPr>
              <w:t>操作系统。</w:t>
            </w:r>
            <w:r>
              <w:rPr>
                <w:rFonts w:hint="eastAsia"/>
                <w:color w:val="000000"/>
                <w:sz w:val="24"/>
                <w:szCs w:val="24"/>
              </w:rPr>
              <w:br w:type="textWrapping"/>
            </w:r>
            <w:r>
              <w:rPr>
                <w:rFonts w:hint="eastAsia"/>
                <w:color w:val="000000"/>
                <w:sz w:val="24"/>
                <w:szCs w:val="24"/>
              </w:rPr>
              <w:t>2、功能：具备Web应用、EJB应用、虚拟主机、应用服务器集群、身份验证、日志审计等基本工作，提供类库管理、集成环境管理、图形化监控、JVM配置、垃圾回收配置等工具，支持实例部署、数据库连接服务，为业务系统提供运行环境；</w:t>
            </w:r>
            <w:r>
              <w:rPr>
                <w:rFonts w:hint="eastAsia"/>
                <w:color w:val="000000"/>
                <w:sz w:val="24"/>
                <w:szCs w:val="24"/>
              </w:rPr>
              <w:br w:type="textWrapping"/>
            </w:r>
            <w:r>
              <w:rPr>
                <w:rFonts w:hint="eastAsia"/>
                <w:color w:val="000000"/>
                <w:sz w:val="24"/>
                <w:szCs w:val="24"/>
              </w:rPr>
              <w:t>3、产品提供1年免费升级服务，7×24小时电话响应支持。提供3年内免费系统适配服务。</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2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套</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电子政务外网和互联网各1套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372" w:type="dxa"/>
            <w:gridSpan w:val="5"/>
            <w:noWrap w:val="0"/>
            <w:vAlign w:val="center"/>
          </w:tcPr>
          <w:p>
            <w:pPr>
              <w:widowControl/>
              <w:jc w:val="left"/>
              <w:rPr>
                <w:rFonts w:hint="eastAsia" w:ascii="宋体" w:cs="宋体"/>
                <w:b/>
                <w:bCs/>
                <w:color w:val="000000"/>
                <w:kern w:val="0"/>
                <w:sz w:val="24"/>
                <w:szCs w:val="24"/>
                <w:lang w:bidi="ar-SA"/>
              </w:rPr>
            </w:pPr>
            <w:r>
              <w:rPr>
                <w:rFonts w:hint="eastAsia" w:ascii="宋体" w:cs="宋体"/>
                <w:b/>
                <w:bCs/>
                <w:color w:val="000000"/>
                <w:kern w:val="0"/>
                <w:sz w:val="24"/>
                <w:szCs w:val="24"/>
                <w:lang w:bidi="ar-SA"/>
              </w:rPr>
              <w:t>（三）应用软件</w:t>
            </w:r>
          </w:p>
        </w:tc>
        <w:tc>
          <w:tcPr>
            <w:tcW w:w="1590" w:type="dxa"/>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kern w:val="0"/>
                <w:sz w:val="24"/>
                <w:szCs w:val="24"/>
                <w:lang w:bidi="ar-SA"/>
              </w:rPr>
            </w:pPr>
            <w:r>
              <w:rPr>
                <w:rFonts w:hint="eastAsia" w:ascii="宋体" w:cs="宋体"/>
                <w:kern w:val="0"/>
                <w:sz w:val="24"/>
                <w:szCs w:val="24"/>
                <w:lang w:bidi="ar-SA"/>
              </w:rPr>
              <w:t xml:space="preserve">1 </w:t>
            </w:r>
          </w:p>
        </w:tc>
        <w:tc>
          <w:tcPr>
            <w:tcW w:w="1273" w:type="dxa"/>
            <w:noWrap w:val="0"/>
            <w:vAlign w:val="center"/>
          </w:tcPr>
          <w:p>
            <w:pPr>
              <w:widowControl/>
              <w:jc w:val="center"/>
              <w:rPr>
                <w:rFonts w:hint="eastAsia" w:ascii="宋体" w:cs="宋体"/>
                <w:kern w:val="0"/>
                <w:sz w:val="24"/>
                <w:szCs w:val="24"/>
                <w:lang w:bidi="ar-SA"/>
              </w:rPr>
            </w:pPr>
            <w:r>
              <w:rPr>
                <w:rFonts w:hint="eastAsia" w:ascii="宋体" w:cs="宋体"/>
                <w:kern w:val="0"/>
                <w:sz w:val="24"/>
                <w:szCs w:val="24"/>
                <w:lang w:bidi="ar-SA"/>
              </w:rPr>
              <w:t>一体化自助服务终端应用系统</w:t>
            </w:r>
          </w:p>
        </w:tc>
        <w:tc>
          <w:tcPr>
            <w:tcW w:w="5413" w:type="dxa"/>
            <w:noWrap w:val="0"/>
            <w:vAlign w:val="center"/>
          </w:tcPr>
          <w:p>
            <w:pPr>
              <w:widowControl/>
              <w:numPr>
                <w:ilvl w:val="0"/>
                <w:numId w:val="6"/>
              </w:numPr>
              <w:jc w:val="left"/>
              <w:rPr>
                <w:sz w:val="24"/>
                <w:szCs w:val="24"/>
              </w:rPr>
            </w:pPr>
            <w:r>
              <w:rPr>
                <w:rFonts w:hint="eastAsia"/>
                <w:sz w:val="24"/>
                <w:szCs w:val="24"/>
              </w:rPr>
              <w:t>一体化自助服务终端应用系统结合智慧大厅自助服务终端，助力各级退役军人服务中心（站）做好就业创业扶持、法律服务、信访接待、权益保障等退役军人等事务领域服务性、保障性、事务性、延伸性工作，打通服务退役军人及其他优抚对象“最后一公里”。</w:t>
            </w:r>
          </w:p>
          <w:p>
            <w:pPr>
              <w:widowControl/>
              <w:numPr>
                <w:ilvl w:val="0"/>
                <w:numId w:val="6"/>
              </w:numPr>
              <w:jc w:val="left"/>
              <w:rPr>
                <w:sz w:val="24"/>
                <w:szCs w:val="24"/>
                <w:lang w:eastAsia="zh-Hans"/>
              </w:rPr>
            </w:pPr>
            <w:r>
              <w:rPr>
                <w:rFonts w:hint="eastAsia"/>
                <w:sz w:val="24"/>
                <w:szCs w:val="24"/>
              </w:rPr>
              <w:t>退役军人身份认证</w:t>
            </w:r>
            <w:r>
              <w:rPr>
                <w:rFonts w:hint="eastAsia"/>
                <w:sz w:val="24"/>
                <w:szCs w:val="24"/>
                <w:lang w:eastAsia="zh-Hans"/>
              </w:rPr>
              <w:t>：</w:t>
            </w:r>
            <w:r>
              <w:rPr>
                <w:rFonts w:hint="eastAsia"/>
                <w:sz w:val="24"/>
                <w:szCs w:val="24"/>
              </w:rPr>
              <w:t>身份证识别、社保卡识别（二代和三代）、人证比对识别（支持活体检测）、信息采集认证</w:t>
            </w:r>
            <w:r>
              <w:rPr>
                <w:rFonts w:hint="eastAsia"/>
                <w:sz w:val="24"/>
                <w:szCs w:val="24"/>
                <w:lang w:eastAsia="zh-Hans"/>
              </w:rPr>
              <w:t>。</w:t>
            </w:r>
          </w:p>
          <w:p>
            <w:pPr>
              <w:widowControl/>
              <w:numPr>
                <w:ilvl w:val="0"/>
                <w:numId w:val="6"/>
              </w:numPr>
              <w:jc w:val="left"/>
              <w:rPr>
                <w:sz w:val="24"/>
                <w:szCs w:val="24"/>
                <w:lang w:eastAsia="zh-Hans"/>
              </w:rPr>
            </w:pPr>
            <w:r>
              <w:rPr>
                <w:rFonts w:hint="eastAsia"/>
                <w:sz w:val="24"/>
                <w:szCs w:val="24"/>
                <w:lang w:eastAsia="zh-Hans"/>
              </w:rPr>
              <w:t>大厅业务办理排号取号：通过身份认证后，选择业务窗口，点击取号，服务终端打印小票，支持接入叫号系统；</w:t>
            </w:r>
          </w:p>
          <w:p>
            <w:pPr>
              <w:widowControl/>
              <w:numPr>
                <w:ilvl w:val="0"/>
                <w:numId w:val="6"/>
              </w:numPr>
              <w:jc w:val="left"/>
              <w:rPr>
                <w:sz w:val="24"/>
                <w:szCs w:val="24"/>
                <w:lang w:eastAsia="zh-Hans"/>
              </w:rPr>
            </w:pPr>
            <w:r>
              <w:rPr>
                <w:rFonts w:hint="eastAsia"/>
                <w:sz w:val="24"/>
                <w:szCs w:val="24"/>
                <w:lang w:eastAsia="zh-Hans"/>
              </w:rPr>
              <w:t>信息展示及查询：通知公告、机构简介、办事指南、政策法规查询和服务站点查询，支持展示PDF,图片，文字；</w:t>
            </w:r>
          </w:p>
          <w:p>
            <w:pPr>
              <w:widowControl/>
              <w:numPr>
                <w:ilvl w:val="0"/>
                <w:numId w:val="6"/>
              </w:numPr>
              <w:jc w:val="left"/>
              <w:rPr>
                <w:sz w:val="24"/>
                <w:szCs w:val="24"/>
                <w:lang w:eastAsia="zh-Hans"/>
              </w:rPr>
            </w:pPr>
            <w:r>
              <w:rPr>
                <w:rFonts w:hint="eastAsia"/>
                <w:sz w:val="24"/>
                <w:szCs w:val="24"/>
                <w:lang w:eastAsia="zh-Hans"/>
              </w:rPr>
              <w:t>“一站式”报道：报到申请、报到材料打印和基础信息采集；</w:t>
            </w:r>
          </w:p>
          <w:p>
            <w:pPr>
              <w:widowControl/>
              <w:numPr>
                <w:ilvl w:val="0"/>
                <w:numId w:val="6"/>
              </w:numPr>
              <w:jc w:val="left"/>
              <w:rPr>
                <w:sz w:val="24"/>
                <w:szCs w:val="24"/>
                <w:lang w:eastAsia="zh-Hans"/>
              </w:rPr>
            </w:pPr>
            <w:r>
              <w:rPr>
                <w:rFonts w:hint="eastAsia"/>
                <w:sz w:val="24"/>
                <w:szCs w:val="24"/>
                <w:lang w:eastAsia="zh-Hans"/>
              </w:rPr>
              <w:t>教育培训信息查询及意向填报：浏览全市的培训项目及培训详情，点击对应培训，提供预约报名功能，完成报名预约后，后台对应工作人员通过审核后。对报名成功的统一组织培训。</w:t>
            </w:r>
          </w:p>
          <w:p>
            <w:pPr>
              <w:widowControl/>
              <w:numPr>
                <w:ilvl w:val="0"/>
                <w:numId w:val="6"/>
              </w:numPr>
              <w:jc w:val="left"/>
              <w:rPr>
                <w:sz w:val="24"/>
                <w:szCs w:val="24"/>
                <w:lang w:eastAsia="zh-Hans"/>
              </w:rPr>
            </w:pPr>
            <w:r>
              <w:rPr>
                <w:rFonts w:hint="eastAsia"/>
                <w:sz w:val="24"/>
                <w:szCs w:val="24"/>
                <w:lang w:eastAsia="zh-Hans"/>
              </w:rPr>
              <w:t>就业创业信息查询及意向填报：浏览全市的招聘信息及招聘详情、创业项目及详情介绍。点击对应的招聘信息，提供预约报名功能；后台对应工作人员通过审核后，对于就业的统一发送简历到招聘单位预留邮箱或推送意向人员到就业创业招聘单位端后台；对于创业意向对象，提供必要创业指导；</w:t>
            </w:r>
          </w:p>
          <w:p>
            <w:pPr>
              <w:widowControl/>
              <w:numPr>
                <w:ilvl w:val="0"/>
                <w:numId w:val="6"/>
              </w:numPr>
              <w:jc w:val="left"/>
              <w:rPr>
                <w:sz w:val="24"/>
                <w:szCs w:val="24"/>
                <w:lang w:eastAsia="zh-Hans"/>
              </w:rPr>
            </w:pPr>
            <w:r>
              <w:rPr>
                <w:rFonts w:hint="eastAsia"/>
                <w:sz w:val="24"/>
                <w:szCs w:val="24"/>
                <w:lang w:eastAsia="zh-Hans"/>
              </w:rPr>
              <w:t>预约咨询：通过一体化服务业务办理系统维护可以咨询的栏目及对应咨询专家的信息和可供咨询人数及服务时间段，用户登陆后通过服务终端选择咨询类型和咨询专家完成咨询预约申请，预约申请需由对应工作人员在后端审核；</w:t>
            </w:r>
          </w:p>
          <w:p>
            <w:pPr>
              <w:widowControl/>
              <w:numPr>
                <w:ilvl w:val="0"/>
                <w:numId w:val="6"/>
              </w:numPr>
              <w:jc w:val="left"/>
              <w:rPr>
                <w:sz w:val="24"/>
                <w:szCs w:val="24"/>
                <w:lang w:eastAsia="zh-Hans"/>
              </w:rPr>
            </w:pPr>
            <w:r>
              <w:rPr>
                <w:rFonts w:hint="eastAsia"/>
                <w:sz w:val="24"/>
                <w:szCs w:val="24"/>
                <w:lang w:eastAsia="zh-Hans"/>
              </w:rPr>
              <w:t>服务超市：在一体化自助服务终端应用系统中搭建退役军人线上“服务超市”，通过联合街道、社区，协调社会优质企业、金融机构和其他力量，从生活服务、医疗健康、交通出行等退役军人最关心的领域入手，提供优惠优待服务；</w:t>
            </w:r>
          </w:p>
          <w:p>
            <w:pPr>
              <w:widowControl/>
              <w:numPr>
                <w:ilvl w:val="0"/>
                <w:numId w:val="6"/>
              </w:numPr>
              <w:jc w:val="left"/>
              <w:rPr>
                <w:sz w:val="24"/>
                <w:szCs w:val="24"/>
                <w:lang w:eastAsia="zh-Hans"/>
              </w:rPr>
            </w:pPr>
            <w:r>
              <w:rPr>
                <w:rFonts w:hint="eastAsia"/>
                <w:sz w:val="24"/>
                <w:szCs w:val="24"/>
                <w:lang w:eastAsia="zh-Hans"/>
              </w:rPr>
              <w:t>自助查询：可以查询个人的业务办理情况，个人登记信息；</w:t>
            </w:r>
          </w:p>
          <w:p>
            <w:pPr>
              <w:widowControl/>
              <w:numPr>
                <w:ilvl w:val="0"/>
                <w:numId w:val="6"/>
              </w:numPr>
              <w:jc w:val="left"/>
              <w:rPr>
                <w:rFonts w:hint="eastAsia"/>
                <w:sz w:val="24"/>
                <w:szCs w:val="24"/>
                <w:lang w:eastAsia="zh-Hans"/>
              </w:rPr>
            </w:pPr>
            <w:r>
              <w:rPr>
                <w:rFonts w:hint="eastAsia"/>
                <w:sz w:val="24"/>
                <w:szCs w:val="24"/>
                <w:lang w:eastAsia="zh-Hans"/>
              </w:rPr>
              <w:t>自助打印：提供各类材料打印功能，支持A4打印和80mm热敏纸打印；</w:t>
            </w:r>
          </w:p>
          <w:p>
            <w:pPr>
              <w:widowControl/>
              <w:numPr>
                <w:ilvl w:val="0"/>
                <w:numId w:val="6"/>
              </w:numPr>
              <w:jc w:val="left"/>
              <w:rPr>
                <w:sz w:val="24"/>
                <w:szCs w:val="24"/>
                <w:lang w:eastAsia="zh-Hans"/>
              </w:rPr>
            </w:pPr>
            <w:r>
              <w:rPr>
                <w:rFonts w:hint="eastAsia"/>
                <w:sz w:val="24"/>
                <w:szCs w:val="24"/>
                <w:lang w:eastAsia="zh-Hans"/>
              </w:rPr>
              <w:t>★</w:t>
            </w:r>
            <w:r>
              <w:rPr>
                <w:rFonts w:hint="eastAsia"/>
                <w:sz w:val="24"/>
                <w:szCs w:val="24"/>
                <w:lang w:val="en-US" w:eastAsia="zh-CN"/>
              </w:rPr>
              <w:t>投标人提供的软件</w:t>
            </w:r>
            <w:r>
              <w:rPr>
                <w:rFonts w:hint="eastAsia"/>
                <w:sz w:val="24"/>
                <w:szCs w:val="24"/>
                <w:lang w:eastAsia="zh-Hans"/>
              </w:rPr>
              <w:t>包含具有“自助服务”</w:t>
            </w:r>
            <w:r>
              <w:rPr>
                <w:rFonts w:hint="eastAsia"/>
                <w:sz w:val="24"/>
                <w:szCs w:val="24"/>
                <w:lang w:val="en-US" w:eastAsia="zh-CN"/>
              </w:rPr>
              <w:t>或</w:t>
            </w:r>
            <w:r>
              <w:rPr>
                <w:rFonts w:hint="eastAsia"/>
                <w:sz w:val="24"/>
                <w:szCs w:val="24"/>
                <w:lang w:eastAsia="zh-Hans"/>
              </w:rPr>
              <w:t>“自助</w:t>
            </w:r>
            <w:r>
              <w:rPr>
                <w:rFonts w:hint="eastAsia"/>
                <w:sz w:val="24"/>
                <w:szCs w:val="24"/>
                <w:lang w:val="en-US" w:eastAsia="zh-Hans"/>
              </w:rPr>
              <w:t>经办</w:t>
            </w:r>
            <w:r>
              <w:rPr>
                <w:rFonts w:hint="eastAsia"/>
                <w:sz w:val="24"/>
                <w:szCs w:val="24"/>
                <w:lang w:eastAsia="zh-Hans"/>
              </w:rPr>
              <w:t>”</w:t>
            </w:r>
            <w:r>
              <w:rPr>
                <w:rFonts w:hint="eastAsia"/>
                <w:sz w:val="24"/>
                <w:szCs w:val="24"/>
                <w:lang w:val="en-US" w:eastAsia="zh-Hans"/>
              </w:rPr>
              <w:t>或</w:t>
            </w:r>
            <w:r>
              <w:rPr>
                <w:rFonts w:hint="eastAsia"/>
                <w:sz w:val="24"/>
                <w:szCs w:val="24"/>
                <w:lang w:val="en-US" w:eastAsia="zh-CN"/>
              </w:rPr>
              <w:t>“自动化运维”</w:t>
            </w:r>
            <w:r>
              <w:rPr>
                <w:rFonts w:hint="eastAsia"/>
                <w:sz w:val="24"/>
                <w:szCs w:val="24"/>
                <w:lang w:val="en-US" w:eastAsia="zh-Hans"/>
              </w:rPr>
              <w:t>关键</w:t>
            </w:r>
            <w:r>
              <w:rPr>
                <w:rFonts w:hint="eastAsia"/>
                <w:sz w:val="24"/>
                <w:szCs w:val="24"/>
                <w:lang w:eastAsia="zh-Hans"/>
              </w:rPr>
              <w:t>字的软件著作权登记证书（需提相关供证书复印件）。</w:t>
            </w:r>
          </w:p>
        </w:tc>
        <w:tc>
          <w:tcPr>
            <w:tcW w:w="640" w:type="dxa"/>
            <w:noWrap w:val="0"/>
            <w:vAlign w:val="center"/>
          </w:tcPr>
          <w:p>
            <w:pPr>
              <w:widowControl/>
              <w:jc w:val="center"/>
              <w:rPr>
                <w:rFonts w:hint="eastAsia" w:ascii="宋体" w:cs="宋体"/>
                <w:kern w:val="0"/>
                <w:sz w:val="24"/>
                <w:szCs w:val="24"/>
                <w:lang w:bidi="ar-SA"/>
              </w:rPr>
            </w:pPr>
            <w:r>
              <w:rPr>
                <w:rFonts w:hint="eastAsia" w:ascii="宋体" w:cs="宋体"/>
                <w:kern w:val="0"/>
                <w:sz w:val="24"/>
                <w:szCs w:val="24"/>
                <w:lang w:bidi="ar-SA"/>
              </w:rPr>
              <w:t xml:space="preserve">1 </w:t>
            </w:r>
          </w:p>
        </w:tc>
        <w:tc>
          <w:tcPr>
            <w:tcW w:w="656" w:type="dxa"/>
            <w:noWrap w:val="0"/>
            <w:vAlign w:val="center"/>
          </w:tcPr>
          <w:p>
            <w:pPr>
              <w:widowControl/>
              <w:jc w:val="center"/>
              <w:rPr>
                <w:rFonts w:hint="eastAsia" w:ascii="宋体" w:cs="宋体"/>
                <w:kern w:val="0"/>
                <w:sz w:val="24"/>
                <w:szCs w:val="24"/>
                <w:lang w:bidi="ar-SA"/>
              </w:rPr>
            </w:pPr>
            <w:r>
              <w:rPr>
                <w:rFonts w:hint="eastAsia" w:ascii="宋体" w:cs="宋体"/>
                <w:kern w:val="0"/>
                <w:sz w:val="24"/>
                <w:szCs w:val="24"/>
                <w:lang w:bidi="ar-SA"/>
              </w:rPr>
              <w:t xml:space="preserve">套 </w:t>
            </w:r>
          </w:p>
        </w:tc>
        <w:tc>
          <w:tcPr>
            <w:tcW w:w="1590" w:type="dxa"/>
            <w:noWrap w:val="0"/>
            <w:vAlign w:val="center"/>
          </w:tcPr>
          <w:p>
            <w:pPr>
              <w:widowControl/>
              <w:jc w:val="left"/>
              <w:rPr>
                <w:rFonts w:hint="eastAsia" w:ascii="宋体" w:cs="宋体"/>
                <w:b/>
                <w:bCs/>
                <w:kern w:val="0"/>
                <w:sz w:val="24"/>
                <w:szCs w:val="24"/>
                <w:lang w:bidi="ar-SA"/>
              </w:rPr>
            </w:pPr>
            <w:r>
              <w:rPr>
                <w:rFonts w:hint="eastAsia" w:ascii="宋体" w:cs="宋体"/>
                <w:b/>
                <w:bCs/>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2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一体化服务业务办理系统</w:t>
            </w:r>
          </w:p>
        </w:tc>
        <w:tc>
          <w:tcPr>
            <w:tcW w:w="5413" w:type="dxa"/>
            <w:noWrap w:val="0"/>
            <w:vAlign w:val="center"/>
          </w:tcPr>
          <w:p>
            <w:pPr>
              <w:widowControl/>
              <w:numPr>
                <w:ilvl w:val="0"/>
                <w:numId w:val="7"/>
              </w:numPr>
              <w:jc w:val="left"/>
              <w:rPr>
                <w:color w:val="000000"/>
                <w:sz w:val="24"/>
                <w:szCs w:val="24"/>
              </w:rPr>
            </w:pPr>
            <w:r>
              <w:rPr>
                <w:rFonts w:hint="eastAsia"/>
                <w:color w:val="000000"/>
                <w:sz w:val="24"/>
                <w:szCs w:val="24"/>
              </w:rPr>
              <w:t>一体化服务业务办理系统主要对一体化自助服务终端应用系统、一体化掌上服务平台功能</w:t>
            </w:r>
            <w:r>
              <w:rPr>
                <w:rFonts w:hint="eastAsia"/>
                <w:color w:val="000000"/>
                <w:sz w:val="24"/>
                <w:szCs w:val="24"/>
                <w:lang w:eastAsia="zh-Hans"/>
              </w:rPr>
              <w:t>、眉山退役军人就创业系统</w:t>
            </w:r>
            <w:r>
              <w:rPr>
                <w:rFonts w:hint="eastAsia"/>
                <w:color w:val="000000"/>
                <w:sz w:val="24"/>
                <w:szCs w:val="24"/>
              </w:rPr>
              <w:t>进行统一管理。系统面向不同层级机构以及各级机构不同部门科室的工作人员、管理员等不同角色，分配使用权限达成对各系统的业务处理、内容发布、业务流转审核、工作台账管理、统计分析等系统功能的管理与应用。</w:t>
            </w:r>
          </w:p>
          <w:p>
            <w:pPr>
              <w:widowControl/>
              <w:numPr>
                <w:ilvl w:val="0"/>
                <w:numId w:val="7"/>
              </w:numPr>
              <w:jc w:val="left"/>
              <w:rPr>
                <w:color w:val="000000"/>
                <w:sz w:val="24"/>
                <w:szCs w:val="24"/>
                <w:lang w:eastAsia="zh-Hans"/>
              </w:rPr>
            </w:pPr>
            <w:r>
              <w:rPr>
                <w:rFonts w:hint="eastAsia"/>
                <w:color w:val="000000"/>
                <w:sz w:val="24"/>
                <w:szCs w:val="24"/>
              </w:rPr>
              <w:t>系统基本管理</w:t>
            </w:r>
            <w:r>
              <w:rPr>
                <w:rFonts w:hint="eastAsia"/>
                <w:color w:val="000000"/>
                <w:sz w:val="24"/>
                <w:szCs w:val="24"/>
                <w:lang w:eastAsia="zh-Hans"/>
              </w:rPr>
              <w:t>：</w:t>
            </w:r>
            <w:r>
              <w:rPr>
                <w:rFonts w:hint="eastAsia"/>
                <w:color w:val="000000"/>
                <w:sz w:val="24"/>
                <w:szCs w:val="24"/>
              </w:rPr>
              <w:t>系统基本管理包括组织机构管理、系统用户管理、系统角色与权限管理、数据字典管理、系统日志管理和业务流程管理等功能</w:t>
            </w:r>
            <w:r>
              <w:rPr>
                <w:rFonts w:hint="eastAsia"/>
                <w:color w:val="000000"/>
                <w:sz w:val="24"/>
                <w:szCs w:val="24"/>
                <w:lang w:eastAsia="zh-Hans"/>
              </w:rPr>
              <w:t>；</w:t>
            </w:r>
          </w:p>
          <w:p>
            <w:pPr>
              <w:widowControl/>
              <w:numPr>
                <w:ilvl w:val="0"/>
                <w:numId w:val="7"/>
              </w:numPr>
              <w:jc w:val="left"/>
              <w:rPr>
                <w:color w:val="000000"/>
                <w:sz w:val="24"/>
                <w:szCs w:val="24"/>
                <w:lang w:eastAsia="zh-Hans"/>
              </w:rPr>
            </w:pPr>
            <w:r>
              <w:rPr>
                <w:rFonts w:hint="eastAsia"/>
                <w:color w:val="000000"/>
                <w:sz w:val="24"/>
                <w:szCs w:val="24"/>
                <w:lang w:eastAsia="zh-Hans"/>
              </w:rPr>
              <w:t>系统</w:t>
            </w:r>
            <w:r>
              <w:rPr>
                <w:rFonts w:hint="eastAsia"/>
                <w:color w:val="000000"/>
                <w:sz w:val="24"/>
                <w:szCs w:val="24"/>
              </w:rPr>
              <w:t>内容管理</w:t>
            </w:r>
            <w:r>
              <w:rPr>
                <w:rFonts w:hint="eastAsia"/>
                <w:color w:val="000000"/>
                <w:sz w:val="24"/>
                <w:szCs w:val="24"/>
                <w:lang w:eastAsia="zh-Hans"/>
              </w:rPr>
              <w:t>：</w:t>
            </w:r>
            <w:r>
              <w:rPr>
                <w:rFonts w:hint="eastAsia"/>
                <w:color w:val="000000"/>
                <w:sz w:val="24"/>
                <w:szCs w:val="24"/>
              </w:rPr>
              <w:t>内容管理主要是对一体化自助服务终端应用系统、一体化掌上服务平台中的栏目与内容发布进行管理，如：通知公告、政策法规、办事指南等</w:t>
            </w:r>
            <w:r>
              <w:rPr>
                <w:rFonts w:hint="eastAsia"/>
                <w:color w:val="000000"/>
                <w:sz w:val="24"/>
                <w:szCs w:val="24"/>
                <w:lang w:eastAsia="zh-Hans"/>
              </w:rPr>
              <w:t>；</w:t>
            </w:r>
            <w:r>
              <w:rPr>
                <w:rFonts w:hint="eastAsia"/>
                <w:color w:val="000000"/>
                <w:sz w:val="24"/>
                <w:szCs w:val="24"/>
              </w:rPr>
              <w:t>内容管理功能包括栏目管理、内容发布和内部交流等功能</w:t>
            </w:r>
            <w:r>
              <w:rPr>
                <w:rFonts w:hint="eastAsia"/>
                <w:color w:val="000000"/>
                <w:sz w:val="24"/>
                <w:szCs w:val="24"/>
                <w:lang w:eastAsia="zh-Hans"/>
              </w:rPr>
              <w:t>；</w:t>
            </w:r>
          </w:p>
          <w:p>
            <w:pPr>
              <w:widowControl/>
              <w:numPr>
                <w:ilvl w:val="0"/>
                <w:numId w:val="7"/>
              </w:numPr>
              <w:jc w:val="left"/>
              <w:rPr>
                <w:color w:val="000000"/>
                <w:sz w:val="24"/>
                <w:szCs w:val="24"/>
                <w:lang w:eastAsia="zh-Hans"/>
              </w:rPr>
            </w:pPr>
            <w:r>
              <w:rPr>
                <w:rFonts w:hint="eastAsia"/>
                <w:color w:val="000000"/>
                <w:sz w:val="24"/>
                <w:szCs w:val="24"/>
              </w:rPr>
              <w:t>业务</w:t>
            </w:r>
            <w:r>
              <w:rPr>
                <w:rFonts w:hint="eastAsia"/>
                <w:color w:val="000000"/>
                <w:sz w:val="24"/>
                <w:szCs w:val="24"/>
                <w:lang w:eastAsia="zh-Hans"/>
              </w:rPr>
              <w:t>受理</w:t>
            </w:r>
            <w:r>
              <w:rPr>
                <w:rFonts w:hint="eastAsia"/>
                <w:color w:val="000000"/>
                <w:sz w:val="24"/>
                <w:szCs w:val="24"/>
              </w:rPr>
              <w:t>管理</w:t>
            </w:r>
            <w:r>
              <w:rPr>
                <w:rFonts w:hint="eastAsia"/>
                <w:color w:val="000000"/>
                <w:sz w:val="24"/>
                <w:szCs w:val="24"/>
                <w:lang w:eastAsia="zh-Hans"/>
              </w:rPr>
              <w:t>：</w:t>
            </w:r>
            <w:r>
              <w:rPr>
                <w:rFonts w:hint="eastAsia"/>
                <w:color w:val="000000"/>
                <w:sz w:val="24"/>
                <w:szCs w:val="24"/>
              </w:rPr>
              <w:t>主要使用对象为服务中心（站）服务窗口业务办理人员，涵盖服务终端的预约咨询处理，实现来询来访登记及关联人员标记，支持接入高拍仪实现刷卡调档、重点来访人员预警提示</w:t>
            </w:r>
            <w:r>
              <w:rPr>
                <w:rFonts w:hint="eastAsia"/>
                <w:color w:val="000000"/>
                <w:sz w:val="24"/>
                <w:szCs w:val="24"/>
                <w:lang w:eastAsia="zh-Hans"/>
              </w:rPr>
              <w:t>；</w:t>
            </w:r>
          </w:p>
          <w:p>
            <w:pPr>
              <w:widowControl/>
              <w:numPr>
                <w:ilvl w:val="0"/>
                <w:numId w:val="7"/>
              </w:numPr>
              <w:jc w:val="left"/>
              <w:rPr>
                <w:color w:val="000000"/>
                <w:sz w:val="24"/>
                <w:szCs w:val="24"/>
                <w:lang w:eastAsia="zh-Hans"/>
              </w:rPr>
            </w:pPr>
            <w:r>
              <w:rPr>
                <w:rFonts w:hint="eastAsia"/>
                <w:color w:val="000000"/>
                <w:sz w:val="24"/>
                <w:szCs w:val="24"/>
              </w:rPr>
              <w:t>专项业务管理</w:t>
            </w:r>
            <w:r>
              <w:rPr>
                <w:rFonts w:hint="eastAsia"/>
                <w:color w:val="000000"/>
                <w:sz w:val="24"/>
                <w:szCs w:val="24"/>
                <w:lang w:eastAsia="zh-Hans"/>
              </w:rPr>
              <w:t>：</w:t>
            </w:r>
            <w:r>
              <w:rPr>
                <w:rFonts w:hint="eastAsia"/>
                <w:color w:val="000000"/>
                <w:sz w:val="24"/>
                <w:szCs w:val="24"/>
              </w:rPr>
              <w:t>涵盖了电话来询管理，基层日常工作开展所需的走访服务管理，为服务终端和掌上服务平台就业创业板块和教育培训板块提供支撑的就业创业管理和教育培训管理。联动服务对象信息管理模块为办理人员提供重点人员提示</w:t>
            </w:r>
            <w:r>
              <w:rPr>
                <w:rFonts w:hint="eastAsia"/>
                <w:color w:val="000000"/>
                <w:sz w:val="24"/>
                <w:szCs w:val="24"/>
                <w:lang w:eastAsia="zh-Hans"/>
              </w:rPr>
              <w:t>；</w:t>
            </w:r>
            <w:r>
              <w:rPr>
                <w:rFonts w:hint="eastAsia"/>
                <w:color w:val="000000"/>
                <w:sz w:val="24"/>
                <w:szCs w:val="24"/>
              </w:rPr>
              <w:t>对接市医保</w:t>
            </w:r>
            <w:r>
              <w:rPr>
                <w:color w:val="000000"/>
                <w:sz w:val="24"/>
                <w:szCs w:val="24"/>
              </w:rPr>
              <w:t>、</w:t>
            </w:r>
            <w:r>
              <w:rPr>
                <w:rFonts w:hint="eastAsia"/>
                <w:color w:val="000000"/>
                <w:sz w:val="24"/>
                <w:szCs w:val="24"/>
                <w:lang w:eastAsia="zh-Hans"/>
              </w:rPr>
              <w:t>人社部门信息系统</w:t>
            </w:r>
            <w:r>
              <w:rPr>
                <w:rFonts w:hint="eastAsia"/>
                <w:color w:val="000000"/>
                <w:sz w:val="24"/>
                <w:szCs w:val="24"/>
              </w:rPr>
              <w:t>完成重点优抚对象的二次医疗报销在线核算，及退役士兵社保接续金额核算</w:t>
            </w:r>
            <w:r>
              <w:rPr>
                <w:rFonts w:hint="eastAsia"/>
                <w:color w:val="000000"/>
                <w:sz w:val="24"/>
                <w:szCs w:val="24"/>
                <w:lang w:eastAsia="zh-Hans"/>
              </w:rPr>
              <w:t>；</w:t>
            </w:r>
          </w:p>
          <w:p>
            <w:pPr>
              <w:widowControl/>
              <w:numPr>
                <w:ilvl w:val="0"/>
                <w:numId w:val="7"/>
              </w:numPr>
              <w:jc w:val="left"/>
              <w:rPr>
                <w:color w:val="000000"/>
                <w:sz w:val="24"/>
                <w:szCs w:val="24"/>
                <w:lang w:eastAsia="zh-Hans"/>
              </w:rPr>
            </w:pPr>
            <w:r>
              <w:rPr>
                <w:rFonts w:hint="eastAsia"/>
                <w:color w:val="000000"/>
                <w:sz w:val="24"/>
                <w:szCs w:val="24"/>
                <w:lang w:eastAsia="zh-Hans"/>
              </w:rPr>
              <w:t>服务对象信息管理：包含基本信息管理、类型信息管理、生活信息管理、人员服务记录管理、待遇发放记录管理、系统关联记录管理，涵盖退役军人的基本信息，包含入伍退伍安置等基础信息字段，按退役军人类型进行管理、如：退役士兵、军队转移干部、复原军人等多中类别的详细信息，当前住房、就业、收入等生活信息，来询来访和服务工作的记录，支持按归属地管理和按户籍地管理，提供多种条件查询和标签查询，并提供自定义标签功能；</w:t>
            </w:r>
          </w:p>
          <w:p>
            <w:pPr>
              <w:widowControl/>
              <w:numPr>
                <w:ilvl w:val="0"/>
                <w:numId w:val="7"/>
              </w:numPr>
              <w:jc w:val="left"/>
              <w:rPr>
                <w:color w:val="000000"/>
                <w:sz w:val="24"/>
                <w:szCs w:val="24"/>
                <w:lang w:eastAsia="zh-Hans"/>
              </w:rPr>
            </w:pPr>
            <w:r>
              <w:rPr>
                <w:rFonts w:hint="eastAsia"/>
                <w:color w:val="000000"/>
                <w:sz w:val="24"/>
                <w:szCs w:val="24"/>
                <w:lang w:eastAsia="zh-Hans"/>
              </w:rPr>
              <w:t>机构管理：涵盖机构信息的管理及对应机构人员的信息管理、来询来访统计、服务功能记录、服务对象情况统计查看；</w:t>
            </w:r>
          </w:p>
          <w:p>
            <w:pPr>
              <w:widowControl/>
              <w:numPr>
                <w:ilvl w:val="0"/>
                <w:numId w:val="7"/>
              </w:numPr>
              <w:jc w:val="left"/>
              <w:rPr>
                <w:color w:val="000000"/>
                <w:sz w:val="24"/>
                <w:szCs w:val="24"/>
                <w:lang w:eastAsia="zh-Hans"/>
              </w:rPr>
            </w:pPr>
            <w:r>
              <w:rPr>
                <w:rFonts w:hint="eastAsia"/>
                <w:color w:val="000000"/>
                <w:sz w:val="24"/>
                <w:szCs w:val="24"/>
                <w:lang w:eastAsia="zh-Hans"/>
              </w:rPr>
              <w:t>优抚人员管理：涵盖优抚人员基本信息、优抚人员生活信息、优抚人员银行账户信息、优抚政策标准、优抚待遇自动核算、对于重点优抚对象进行分类管理；对接市财政部门“一卡通”发放系统实现优抚资金线上推送发放</w:t>
            </w:r>
            <w:r>
              <w:rPr>
                <w:color w:val="000000"/>
                <w:sz w:val="24"/>
                <w:szCs w:val="24"/>
                <w:lang w:eastAsia="zh-Hans"/>
              </w:rPr>
              <w:t>，</w:t>
            </w:r>
            <w:r>
              <w:rPr>
                <w:rFonts w:hint="eastAsia"/>
                <w:color w:val="000000"/>
                <w:sz w:val="24"/>
                <w:szCs w:val="24"/>
                <w:lang w:eastAsia="zh-Hans"/>
              </w:rPr>
              <w:t>并实现资金发放全流程监管</w:t>
            </w:r>
            <w:r>
              <w:rPr>
                <w:color w:val="000000"/>
                <w:sz w:val="24"/>
                <w:szCs w:val="24"/>
                <w:lang w:eastAsia="zh-Hans"/>
              </w:rPr>
              <w:t>（</w:t>
            </w:r>
            <w:r>
              <w:rPr>
                <w:rFonts w:hint="eastAsia"/>
                <w:color w:val="000000"/>
                <w:sz w:val="24"/>
                <w:szCs w:val="24"/>
                <w:lang w:eastAsia="zh-Hans"/>
              </w:rPr>
              <w:t>由采购人协调市级财政部门</w:t>
            </w:r>
            <w:r>
              <w:rPr>
                <w:color w:val="000000"/>
                <w:sz w:val="24"/>
                <w:szCs w:val="24"/>
                <w:lang w:eastAsia="zh-Hans"/>
              </w:rPr>
              <w:t>）；</w:t>
            </w:r>
          </w:p>
          <w:p>
            <w:pPr>
              <w:widowControl/>
              <w:numPr>
                <w:ilvl w:val="0"/>
                <w:numId w:val="7"/>
              </w:numPr>
              <w:jc w:val="left"/>
              <w:rPr>
                <w:color w:val="000000"/>
                <w:sz w:val="24"/>
                <w:szCs w:val="24"/>
                <w:lang w:eastAsia="zh-Hans"/>
              </w:rPr>
            </w:pPr>
            <w:r>
              <w:rPr>
                <w:rFonts w:hint="eastAsia"/>
                <w:color w:val="000000"/>
                <w:sz w:val="24"/>
                <w:szCs w:val="24"/>
              </w:rPr>
              <w:t>其他服务管理</w:t>
            </w:r>
            <w:r>
              <w:rPr>
                <w:rFonts w:hint="eastAsia"/>
                <w:color w:val="000000"/>
                <w:sz w:val="24"/>
                <w:szCs w:val="24"/>
                <w:lang w:eastAsia="zh-Hans"/>
              </w:rPr>
              <w:t>：</w:t>
            </w:r>
            <w:r>
              <w:rPr>
                <w:rFonts w:hint="eastAsia"/>
                <w:color w:val="000000"/>
                <w:sz w:val="24"/>
                <w:szCs w:val="24"/>
              </w:rPr>
              <w:t>涵盖为服务终端和掌厅咨询预约和在线咨询提供支撑的咨询预约管理、咨询专家管理、在线咨询管理</w:t>
            </w:r>
            <w:r>
              <w:rPr>
                <w:rFonts w:hint="eastAsia"/>
                <w:color w:val="000000"/>
                <w:sz w:val="24"/>
                <w:szCs w:val="24"/>
                <w:lang w:eastAsia="zh-Hans"/>
              </w:rPr>
              <w:t>、</w:t>
            </w:r>
            <w:r>
              <w:rPr>
                <w:rFonts w:hint="eastAsia"/>
                <w:color w:val="000000"/>
                <w:sz w:val="24"/>
                <w:szCs w:val="24"/>
              </w:rPr>
              <w:t>服务终端打印文件管理</w:t>
            </w:r>
            <w:r>
              <w:rPr>
                <w:rFonts w:hint="eastAsia"/>
                <w:color w:val="000000"/>
                <w:sz w:val="24"/>
                <w:szCs w:val="24"/>
                <w:lang w:eastAsia="zh-Hans"/>
              </w:rPr>
              <w:t>、</w:t>
            </w:r>
            <w:r>
              <w:rPr>
                <w:rFonts w:hint="eastAsia"/>
                <w:color w:val="000000"/>
                <w:sz w:val="24"/>
                <w:szCs w:val="24"/>
              </w:rPr>
              <w:t>服务超市管理、短信定时发送、群发、短信模板管理、发放历史回溯</w:t>
            </w:r>
            <w:r>
              <w:rPr>
                <w:rFonts w:hint="eastAsia"/>
                <w:color w:val="000000"/>
                <w:sz w:val="24"/>
                <w:szCs w:val="24"/>
                <w:lang w:eastAsia="zh-Hans"/>
              </w:rPr>
              <w:t>。</w:t>
            </w:r>
          </w:p>
          <w:p>
            <w:pPr>
              <w:pStyle w:val="2"/>
              <w:rPr>
                <w:color w:val="000000"/>
                <w:sz w:val="24"/>
                <w:szCs w:val="24"/>
                <w:lang w:eastAsia="zh-Hans"/>
              </w:rPr>
            </w:pPr>
            <w:r>
              <w:rPr>
                <w:rFonts w:hint="eastAsia" w:ascii="宋体" w:cs="宋体"/>
                <w:color w:val="000000"/>
                <w:kern w:val="0"/>
                <w:sz w:val="24"/>
                <w:szCs w:val="24"/>
                <w:lang w:bidi="ar"/>
              </w:rPr>
              <w:t>10、★</w:t>
            </w:r>
            <w:r>
              <w:rPr>
                <w:rFonts w:hint="eastAsia"/>
                <w:sz w:val="24"/>
                <w:szCs w:val="24"/>
                <w:lang w:val="en-US" w:eastAsia="zh-CN"/>
              </w:rPr>
              <w:t>投标人提供的软件</w:t>
            </w:r>
            <w:r>
              <w:rPr>
                <w:rFonts w:hint="eastAsia"/>
                <w:sz w:val="24"/>
                <w:szCs w:val="24"/>
                <w:lang w:eastAsia="zh-Hans"/>
              </w:rPr>
              <w:t>包含具有</w:t>
            </w:r>
            <w:r>
              <w:rPr>
                <w:rFonts w:hint="eastAsia"/>
                <w:color w:val="000000"/>
                <w:sz w:val="24"/>
                <w:szCs w:val="24"/>
                <w:lang w:eastAsia="zh-Hans"/>
              </w:rPr>
              <w:t>“基础信息采集”“一人一档”</w:t>
            </w:r>
            <w:r>
              <w:rPr>
                <w:rFonts w:hint="eastAsia"/>
                <w:color w:val="000000"/>
                <w:sz w:val="24"/>
                <w:szCs w:val="24"/>
                <w:lang w:eastAsia="zh-CN"/>
              </w:rPr>
              <w:t>“</w:t>
            </w:r>
            <w:r>
              <w:rPr>
                <w:rFonts w:hint="eastAsia"/>
                <w:color w:val="000000"/>
                <w:sz w:val="24"/>
                <w:szCs w:val="24"/>
                <w:lang w:val="en-US" w:eastAsia="zh-CN"/>
              </w:rPr>
              <w:t>数字档案</w:t>
            </w:r>
            <w:r>
              <w:rPr>
                <w:rFonts w:hint="eastAsia"/>
                <w:color w:val="000000"/>
                <w:sz w:val="24"/>
                <w:szCs w:val="24"/>
                <w:lang w:eastAsia="zh-CN"/>
              </w:rPr>
              <w:t>”</w:t>
            </w:r>
            <w:r>
              <w:rPr>
                <w:rFonts w:hint="eastAsia"/>
                <w:color w:val="000000"/>
                <w:sz w:val="24"/>
                <w:szCs w:val="24"/>
                <w:lang w:eastAsia="zh-Hans"/>
              </w:rPr>
              <w:t>“优抚对象待遇”</w:t>
            </w:r>
            <w:r>
              <w:rPr>
                <w:rFonts w:hint="eastAsia"/>
                <w:color w:val="000000"/>
                <w:sz w:val="24"/>
                <w:szCs w:val="24"/>
                <w:lang w:eastAsia="zh-CN"/>
              </w:rPr>
              <w:t>“</w:t>
            </w:r>
            <w:r>
              <w:rPr>
                <w:rFonts w:hint="eastAsia"/>
                <w:color w:val="000000"/>
                <w:sz w:val="24"/>
                <w:szCs w:val="24"/>
                <w:lang w:val="en-US" w:eastAsia="zh-CN"/>
              </w:rPr>
              <w:t>企业军转人员</w:t>
            </w:r>
            <w:r>
              <w:rPr>
                <w:rFonts w:hint="eastAsia"/>
                <w:color w:val="000000"/>
                <w:sz w:val="24"/>
                <w:szCs w:val="24"/>
                <w:lang w:eastAsia="zh-CN"/>
              </w:rPr>
              <w:t>”</w:t>
            </w:r>
            <w:r>
              <w:rPr>
                <w:rFonts w:hint="eastAsia"/>
                <w:color w:val="000000"/>
                <w:sz w:val="24"/>
                <w:szCs w:val="24"/>
                <w:lang w:eastAsia="zh-Hans"/>
              </w:rPr>
              <w:t>“</w:t>
            </w:r>
            <w:r>
              <w:rPr>
                <w:rFonts w:hint="eastAsia"/>
                <w:color w:val="000000"/>
                <w:sz w:val="24"/>
                <w:szCs w:val="24"/>
                <w:lang w:val="en-US" w:eastAsia="zh-Hans"/>
              </w:rPr>
              <w:t>退役军人移交安置</w:t>
            </w:r>
            <w:r>
              <w:rPr>
                <w:rFonts w:hint="eastAsia"/>
                <w:color w:val="000000"/>
                <w:sz w:val="24"/>
                <w:szCs w:val="24"/>
                <w:lang w:eastAsia="zh-Hans"/>
              </w:rPr>
              <w:t>”“</w:t>
            </w:r>
            <w:r>
              <w:rPr>
                <w:rFonts w:hint="eastAsia"/>
                <w:color w:val="000000"/>
                <w:sz w:val="24"/>
                <w:szCs w:val="24"/>
                <w:lang w:val="en-US" w:eastAsia="zh-Hans"/>
              </w:rPr>
              <w:t>退役军人就业创业</w:t>
            </w:r>
            <w:r>
              <w:rPr>
                <w:rFonts w:hint="eastAsia"/>
                <w:color w:val="000000"/>
                <w:sz w:val="24"/>
                <w:szCs w:val="24"/>
                <w:lang w:eastAsia="zh-Hans"/>
              </w:rPr>
              <w:t>”</w:t>
            </w:r>
            <w:r>
              <w:rPr>
                <w:rFonts w:hint="eastAsia"/>
                <w:color w:val="000000"/>
                <w:sz w:val="24"/>
                <w:szCs w:val="24"/>
                <w:lang w:eastAsia="zh-CN"/>
              </w:rPr>
              <w:t>“</w:t>
            </w:r>
            <w:r>
              <w:rPr>
                <w:rFonts w:hint="eastAsia"/>
                <w:color w:val="000000"/>
                <w:sz w:val="24"/>
                <w:szCs w:val="24"/>
                <w:lang w:val="en-US" w:eastAsia="zh-CN"/>
              </w:rPr>
              <w:t>退役军人教育培训</w:t>
            </w:r>
            <w:r>
              <w:rPr>
                <w:rFonts w:hint="eastAsia"/>
                <w:color w:val="000000"/>
                <w:sz w:val="24"/>
                <w:szCs w:val="24"/>
                <w:lang w:eastAsia="zh-CN"/>
              </w:rPr>
              <w:t>”</w:t>
            </w:r>
            <w:r>
              <w:rPr>
                <w:rFonts w:hint="eastAsia"/>
                <w:color w:val="000000"/>
                <w:sz w:val="24"/>
                <w:szCs w:val="24"/>
                <w:lang w:eastAsia="zh-Hans"/>
              </w:rPr>
              <w:t>字样的软件著作权登记证书</w:t>
            </w:r>
            <w:r>
              <w:rPr>
                <w:color w:val="000000"/>
                <w:sz w:val="24"/>
                <w:szCs w:val="24"/>
                <w:lang w:eastAsia="zh-Hans"/>
              </w:rPr>
              <w:t>（</w:t>
            </w:r>
            <w:r>
              <w:rPr>
                <w:rFonts w:hint="eastAsia"/>
                <w:sz w:val="24"/>
                <w:szCs w:val="24"/>
                <w:lang w:eastAsia="zh-Hans"/>
              </w:rPr>
              <w:t>需提</w:t>
            </w:r>
            <w:r>
              <w:rPr>
                <w:rFonts w:hint="eastAsia"/>
                <w:sz w:val="24"/>
                <w:szCs w:val="24"/>
                <w:lang w:val="en-US" w:eastAsia="zh-CN"/>
              </w:rPr>
              <w:t>至少3个</w:t>
            </w:r>
            <w:r>
              <w:rPr>
                <w:rFonts w:hint="eastAsia"/>
                <w:sz w:val="24"/>
                <w:szCs w:val="24"/>
                <w:lang w:eastAsia="zh-Hans"/>
              </w:rPr>
              <w:t>相关供证书复印件</w:t>
            </w:r>
            <w:r>
              <w:rPr>
                <w:color w:val="000000"/>
                <w:sz w:val="24"/>
                <w:szCs w:val="24"/>
                <w:lang w:eastAsia="zh-Hans"/>
              </w:rPr>
              <w:t>）。</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套</w:t>
            </w:r>
          </w:p>
        </w:tc>
        <w:tc>
          <w:tcPr>
            <w:tcW w:w="1590" w:type="dxa"/>
            <w:noWrap w:val="0"/>
            <w:vAlign w:val="center"/>
          </w:tcPr>
          <w:p>
            <w:pPr>
              <w:widowControl/>
              <w:jc w:val="left"/>
              <w:rPr>
                <w:rFonts w:hint="eastAsia" w:ascii="宋体" w:cs="宋体"/>
                <w:b/>
                <w:bCs/>
                <w:color w:val="000000"/>
                <w:kern w:val="0"/>
                <w:sz w:val="24"/>
                <w:szCs w:val="24"/>
                <w:lang w:bidi="ar-SA"/>
              </w:rPr>
            </w:pPr>
            <w:r>
              <w:rPr>
                <w:rFonts w:hint="eastAsia" w:ascii="宋体" w:cs="宋体"/>
                <w:b/>
                <w:bCs/>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3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一体化掌上服务平台</w:t>
            </w:r>
          </w:p>
        </w:tc>
        <w:tc>
          <w:tcPr>
            <w:tcW w:w="5413" w:type="dxa"/>
            <w:noWrap w:val="0"/>
            <w:vAlign w:val="center"/>
          </w:tcPr>
          <w:p>
            <w:pPr>
              <w:widowControl/>
              <w:numPr>
                <w:ilvl w:val="0"/>
                <w:numId w:val="8"/>
              </w:numPr>
              <w:jc w:val="left"/>
              <w:rPr>
                <w:rFonts w:hint="eastAsia" w:ascii="宋体" w:cs="Songti SC Regular"/>
                <w:color w:val="000000"/>
                <w:sz w:val="24"/>
                <w:szCs w:val="24"/>
                <w:lang w:bidi="ar-SA"/>
              </w:rPr>
            </w:pPr>
            <w:r>
              <w:rPr>
                <w:rFonts w:hint="eastAsia" w:ascii="宋体" w:cs="Songti SC Regular"/>
                <w:color w:val="000000"/>
                <w:sz w:val="24"/>
                <w:szCs w:val="24"/>
                <w:lang w:bidi="ar-SA"/>
              </w:rPr>
              <w:t>一体化掌上服务平台依托移动端应用与移动互联网技术，基于“眉山退役军人”微信公众号，实现退役军人和其他优抚对象足不出户就能获取信息查询、业务预约办理、在线问题咨询等服务。为退役军人和其他优抚对象提供便捷的服务，让用户少跑腿，让信息、数据多跑路。</w:t>
            </w:r>
          </w:p>
          <w:p>
            <w:pPr>
              <w:widowControl/>
              <w:numPr>
                <w:ilvl w:val="0"/>
                <w:numId w:val="8"/>
              </w:numPr>
              <w:jc w:val="left"/>
              <w:rPr>
                <w:rFonts w:hint="eastAsia" w:ascii="宋体" w:cs="Songti SC Regular"/>
                <w:color w:val="000000"/>
                <w:sz w:val="24"/>
                <w:szCs w:val="24"/>
                <w:lang w:eastAsia="zh-Hans" w:bidi="ar-SA"/>
              </w:rPr>
            </w:pPr>
            <w:r>
              <w:rPr>
                <w:rFonts w:hint="eastAsia" w:ascii="宋体" w:cs="Songti SC Regular"/>
                <w:color w:val="000000"/>
                <w:sz w:val="24"/>
                <w:szCs w:val="24"/>
                <w:lang w:bidi="ar-SA"/>
              </w:rPr>
              <w:t>身份认证</w:t>
            </w:r>
            <w:r>
              <w:rPr>
                <w:rFonts w:hint="eastAsia" w:ascii="宋体" w:cs="Songti SC Regular"/>
                <w:color w:val="000000"/>
                <w:sz w:val="24"/>
                <w:szCs w:val="24"/>
                <w:lang w:eastAsia="zh-Hans" w:bidi="ar-SA"/>
              </w:rPr>
              <w:t>：</w:t>
            </w:r>
            <w:r>
              <w:rPr>
                <w:rFonts w:hint="eastAsia" w:ascii="宋体" w:cs="Songti SC Regular"/>
                <w:color w:val="000000"/>
                <w:sz w:val="24"/>
                <w:szCs w:val="24"/>
                <w:lang w:bidi="ar-SA"/>
              </w:rPr>
              <w:t>提供用户注册，身份认证登陆和人脸识别认证功能。对于注册用户需效验人员类别信息及身份信息。注册成功后登陆平台需通过人脸识别效验是否本人。对于高龄、行动不便或异地居住本人不能亲自到场的退役军人及优抚对象，平台依托互联网环境</w:t>
            </w:r>
            <w:r>
              <w:rPr>
                <w:rFonts w:hint="eastAsia" w:ascii="宋体" w:cs="Songti SC Regular"/>
                <w:color w:val="000000"/>
                <w:sz w:val="24"/>
                <w:szCs w:val="24"/>
                <w:lang w:eastAsia="zh-Hans" w:bidi="ar-SA"/>
              </w:rPr>
              <w:t>，</w:t>
            </w:r>
            <w:r>
              <w:rPr>
                <w:rFonts w:hint="eastAsia" w:ascii="宋体" w:cs="Songti SC Regular"/>
                <w:color w:val="000000"/>
                <w:sz w:val="24"/>
                <w:szCs w:val="24"/>
                <w:lang w:bidi="ar-SA"/>
              </w:rPr>
              <w:t>依托微信小程序，支持输入身份证和姓名直接进行人脸活体比对检测，结合活体检测、人脸比对等技术提供活体认证功能</w:t>
            </w:r>
            <w:r>
              <w:rPr>
                <w:rFonts w:hint="eastAsia" w:ascii="宋体" w:cs="Songti SC Regular"/>
                <w:color w:val="000000"/>
                <w:sz w:val="24"/>
                <w:szCs w:val="24"/>
                <w:lang w:eastAsia="zh-Hans" w:bidi="ar-SA"/>
              </w:rPr>
              <w:t>；</w:t>
            </w:r>
          </w:p>
          <w:p>
            <w:pPr>
              <w:widowControl/>
              <w:numPr>
                <w:ilvl w:val="0"/>
                <w:numId w:val="8"/>
              </w:numPr>
              <w:jc w:val="left"/>
              <w:rPr>
                <w:rFonts w:hint="eastAsia" w:ascii="宋体" w:cs="Songti SC Regular"/>
                <w:color w:val="000000"/>
                <w:sz w:val="24"/>
                <w:szCs w:val="24"/>
                <w:lang w:eastAsia="zh-Hans" w:bidi="ar-SA"/>
              </w:rPr>
            </w:pPr>
            <w:r>
              <w:rPr>
                <w:rFonts w:hint="eastAsia" w:ascii="宋体" w:cs="Songti SC Regular"/>
                <w:color w:val="000000"/>
                <w:sz w:val="24"/>
                <w:szCs w:val="24"/>
                <w:lang w:bidi="ar-SA"/>
              </w:rPr>
              <w:t>信息展示及查询</w:t>
            </w:r>
            <w:r>
              <w:rPr>
                <w:rFonts w:hint="eastAsia" w:ascii="宋体" w:cs="Songti SC Regular"/>
                <w:color w:val="000000"/>
                <w:sz w:val="24"/>
                <w:szCs w:val="24"/>
                <w:lang w:eastAsia="zh-Hans" w:bidi="ar-SA"/>
              </w:rPr>
              <w:t>：</w:t>
            </w:r>
            <w:r>
              <w:rPr>
                <w:rFonts w:hint="eastAsia" w:ascii="宋体" w:cs="Songti SC Regular"/>
                <w:color w:val="000000"/>
                <w:sz w:val="24"/>
                <w:szCs w:val="24"/>
                <w:lang w:bidi="ar-SA"/>
              </w:rPr>
              <w:t>提供通知公告、机构简介、办事指南、政策法规和服务这（站）的查询与展示</w:t>
            </w:r>
            <w:r>
              <w:rPr>
                <w:rFonts w:hint="eastAsia" w:ascii="宋体" w:cs="Songti SC Regular"/>
                <w:color w:val="000000"/>
                <w:sz w:val="24"/>
                <w:szCs w:val="24"/>
                <w:lang w:eastAsia="zh-Hans" w:bidi="ar-SA"/>
              </w:rPr>
              <w:t>；</w:t>
            </w:r>
          </w:p>
          <w:p>
            <w:pPr>
              <w:widowControl/>
              <w:numPr>
                <w:ilvl w:val="0"/>
                <w:numId w:val="8"/>
              </w:numPr>
              <w:jc w:val="left"/>
              <w:rPr>
                <w:rFonts w:hint="eastAsia" w:ascii="宋体" w:cs="Songti SC Regular"/>
                <w:color w:val="000000"/>
                <w:sz w:val="24"/>
                <w:szCs w:val="24"/>
                <w:lang w:eastAsia="zh-Hans" w:bidi="ar-SA"/>
              </w:rPr>
            </w:pPr>
            <w:r>
              <w:rPr>
                <w:rFonts w:hint="eastAsia" w:ascii="宋体" w:cs="Songti SC Regular"/>
                <w:color w:val="000000"/>
                <w:sz w:val="24"/>
                <w:szCs w:val="24"/>
                <w:lang w:bidi="ar-SA"/>
              </w:rPr>
              <w:t>“一站式”报道</w:t>
            </w:r>
            <w:r>
              <w:rPr>
                <w:rFonts w:hint="eastAsia" w:ascii="宋体" w:cs="Songti SC Regular"/>
                <w:color w:val="000000"/>
                <w:sz w:val="24"/>
                <w:szCs w:val="24"/>
                <w:lang w:eastAsia="zh-Hans" w:bidi="ar-SA"/>
              </w:rPr>
              <w:t>：</w:t>
            </w:r>
            <w:r>
              <w:rPr>
                <w:rFonts w:hint="eastAsia" w:ascii="宋体" w:cs="Songti SC Regular"/>
                <w:color w:val="000000"/>
                <w:sz w:val="24"/>
                <w:szCs w:val="24"/>
                <w:lang w:bidi="ar-SA"/>
              </w:rPr>
              <w:t>提供报道申请、报道材料下载、通过安置登记、中心初采、分发到乡镇的方式采集完善报道人员信息</w:t>
            </w:r>
            <w:r>
              <w:rPr>
                <w:rFonts w:hint="eastAsia" w:ascii="宋体" w:cs="Songti SC Regular"/>
                <w:color w:val="000000"/>
                <w:sz w:val="24"/>
                <w:szCs w:val="24"/>
                <w:lang w:eastAsia="zh-Hans" w:bidi="ar-SA"/>
              </w:rPr>
              <w:t>；</w:t>
            </w:r>
          </w:p>
          <w:p>
            <w:pPr>
              <w:widowControl/>
              <w:numPr>
                <w:ilvl w:val="0"/>
                <w:numId w:val="8"/>
              </w:numPr>
              <w:jc w:val="left"/>
              <w:rPr>
                <w:rFonts w:hint="eastAsia" w:ascii="宋体" w:cs="Songti SC Regular"/>
                <w:color w:val="000000"/>
                <w:sz w:val="24"/>
                <w:szCs w:val="24"/>
                <w:lang w:eastAsia="zh-Hans" w:bidi="ar-SA"/>
              </w:rPr>
            </w:pPr>
            <w:r>
              <w:rPr>
                <w:rFonts w:hint="eastAsia" w:ascii="宋体" w:cs="Songti SC Regular"/>
                <w:color w:val="000000"/>
                <w:sz w:val="24"/>
                <w:szCs w:val="24"/>
                <w:lang w:bidi="ar-SA"/>
              </w:rPr>
              <w:t>教育培训信息查询及意向填报</w:t>
            </w:r>
            <w:r>
              <w:rPr>
                <w:rFonts w:hint="eastAsia" w:ascii="宋体" w:cs="Songti SC Regular"/>
                <w:color w:val="000000"/>
                <w:sz w:val="24"/>
                <w:szCs w:val="24"/>
                <w:lang w:eastAsia="zh-Hans" w:bidi="ar-SA"/>
              </w:rPr>
              <w:t>：</w:t>
            </w:r>
            <w:r>
              <w:rPr>
                <w:rFonts w:hint="eastAsia" w:ascii="宋体" w:cs="Songti SC Regular"/>
                <w:color w:val="000000"/>
                <w:sz w:val="24"/>
                <w:szCs w:val="24"/>
                <w:lang w:bidi="ar-SA"/>
              </w:rPr>
              <w:t>查询浏览各类教育培训信息，如</w:t>
            </w:r>
            <w:r>
              <w:rPr>
                <w:rFonts w:hint="eastAsia" w:ascii="宋体" w:cs="Songti SC Regular"/>
                <w:color w:val="000000"/>
                <w:sz w:val="24"/>
                <w:szCs w:val="24"/>
                <w:lang w:eastAsia="zh-Hans" w:bidi="ar-SA"/>
              </w:rPr>
              <w:t>有感</w:t>
            </w:r>
            <w:r>
              <w:rPr>
                <w:rFonts w:hint="eastAsia" w:ascii="宋体" w:cs="Songti SC Regular"/>
                <w:color w:val="000000"/>
                <w:sz w:val="24"/>
                <w:szCs w:val="24"/>
                <w:lang w:bidi="ar-SA"/>
              </w:rPr>
              <w:t>兴趣的培训信息退役军人可填报意，系统将培训意向发送给后台工作人员进行处理。包括教育培训信息查询、教育培训信息统计和教育培训意向填报等内容</w:t>
            </w:r>
            <w:r>
              <w:rPr>
                <w:rFonts w:hint="eastAsia" w:ascii="宋体" w:cs="Songti SC Regular"/>
                <w:color w:val="000000"/>
                <w:sz w:val="24"/>
                <w:szCs w:val="24"/>
                <w:lang w:eastAsia="zh-Hans" w:bidi="ar-SA"/>
              </w:rPr>
              <w:t>；</w:t>
            </w:r>
          </w:p>
          <w:p>
            <w:pPr>
              <w:widowControl/>
              <w:numPr>
                <w:ilvl w:val="0"/>
                <w:numId w:val="8"/>
              </w:numPr>
              <w:jc w:val="left"/>
              <w:rPr>
                <w:rFonts w:hint="eastAsia" w:ascii="宋体" w:cs="Songti SC Regular"/>
                <w:color w:val="000000"/>
                <w:sz w:val="24"/>
                <w:szCs w:val="24"/>
                <w:lang w:bidi="ar-SA"/>
              </w:rPr>
            </w:pPr>
            <w:r>
              <w:rPr>
                <w:rFonts w:hint="eastAsia" w:ascii="宋体" w:cs="Songti SC Regular"/>
                <w:color w:val="000000"/>
                <w:sz w:val="24"/>
                <w:szCs w:val="24"/>
                <w:lang w:bidi="ar-SA"/>
              </w:rPr>
              <w:t>就业创业信息查询及意向填报</w:t>
            </w:r>
            <w:r>
              <w:rPr>
                <w:rFonts w:hint="eastAsia" w:ascii="宋体" w:cs="Songti SC Regular"/>
                <w:color w:val="000000"/>
                <w:sz w:val="24"/>
                <w:szCs w:val="24"/>
                <w:lang w:eastAsia="zh-Hans" w:bidi="ar-SA"/>
              </w:rPr>
              <w:t>：</w:t>
            </w:r>
            <w:r>
              <w:rPr>
                <w:rFonts w:hint="eastAsia" w:ascii="宋体" w:cs="Songti SC Regular"/>
                <w:color w:val="000000"/>
                <w:sz w:val="24"/>
                <w:szCs w:val="24"/>
                <w:lang w:bidi="ar-SA"/>
              </w:rPr>
              <w:t>查询浏览就业招聘信息，如有感兴趣的就业招聘信息，退役军人可通过填报意向将就业意向发送给后台对应工作人员进行处理。此外，退役军人还可通过掌上服务平台填报创业意向信息，送给后台对应工作人员进行处理。包括就业招聘信息查询、就业信息统计、就业意向填报功能和创业意向填报功能4部分内容。</w:t>
            </w:r>
          </w:p>
          <w:p>
            <w:pPr>
              <w:widowControl/>
              <w:numPr>
                <w:ilvl w:val="0"/>
                <w:numId w:val="8"/>
              </w:numPr>
              <w:jc w:val="left"/>
              <w:rPr>
                <w:rFonts w:hint="eastAsia" w:ascii="宋体" w:cs="Songti SC Regular"/>
                <w:color w:val="000000"/>
                <w:sz w:val="24"/>
                <w:szCs w:val="24"/>
                <w:lang w:eastAsia="zh-Hans" w:bidi="ar-SA"/>
              </w:rPr>
            </w:pPr>
            <w:r>
              <w:rPr>
                <w:rFonts w:hint="eastAsia" w:ascii="宋体" w:cs="Songti SC Regular"/>
                <w:color w:val="000000"/>
                <w:sz w:val="24"/>
                <w:szCs w:val="24"/>
                <w:lang w:bidi="ar-SA"/>
              </w:rPr>
              <w:t>咨询服务</w:t>
            </w:r>
            <w:r>
              <w:rPr>
                <w:rFonts w:hint="eastAsia" w:ascii="宋体" w:cs="Songti SC Regular"/>
                <w:color w:val="000000"/>
                <w:sz w:val="24"/>
                <w:szCs w:val="24"/>
                <w:lang w:eastAsia="zh-Hans" w:bidi="ar-SA"/>
              </w:rPr>
              <w:t>：提供</w:t>
            </w:r>
            <w:r>
              <w:rPr>
                <w:rFonts w:hint="eastAsia" w:ascii="宋体" w:cs="Songti SC Regular"/>
                <w:color w:val="000000"/>
                <w:sz w:val="24"/>
                <w:szCs w:val="24"/>
                <w:lang w:bidi="ar-SA"/>
              </w:rPr>
              <w:t>在线咨询（包含：在线留言、常见问题、智能问答功能），提供在线预约功能，预约完成后，提交到一体化服务业务办理系统业务受理管理模块供办理人员处理</w:t>
            </w:r>
            <w:r>
              <w:rPr>
                <w:rFonts w:hint="eastAsia" w:ascii="宋体" w:cs="Songti SC Regular"/>
                <w:color w:val="000000"/>
                <w:sz w:val="24"/>
                <w:szCs w:val="24"/>
                <w:lang w:eastAsia="zh-Hans" w:bidi="ar-SA"/>
              </w:rPr>
              <w:t>；</w:t>
            </w:r>
          </w:p>
          <w:p>
            <w:pPr>
              <w:widowControl/>
              <w:numPr>
                <w:ilvl w:val="0"/>
                <w:numId w:val="8"/>
              </w:numPr>
              <w:jc w:val="left"/>
              <w:rPr>
                <w:color w:val="000000"/>
                <w:sz w:val="24"/>
                <w:szCs w:val="24"/>
                <w:lang w:eastAsia="zh-Hans"/>
              </w:rPr>
            </w:pPr>
            <w:r>
              <w:rPr>
                <w:rFonts w:hint="eastAsia" w:ascii="宋体" w:cs="Songti SC Regular"/>
                <w:color w:val="000000"/>
                <w:sz w:val="24"/>
                <w:szCs w:val="24"/>
                <w:lang w:bidi="ar-SA"/>
              </w:rPr>
              <w:t>线上服务超市</w:t>
            </w:r>
            <w:r>
              <w:rPr>
                <w:rFonts w:hint="eastAsia" w:ascii="宋体" w:cs="Songti SC Regular"/>
                <w:color w:val="000000"/>
                <w:sz w:val="24"/>
                <w:szCs w:val="24"/>
                <w:lang w:eastAsia="zh-Hans" w:bidi="ar-SA"/>
              </w:rPr>
              <w:t>：</w:t>
            </w:r>
            <w:r>
              <w:rPr>
                <w:rFonts w:hint="eastAsia" w:ascii="宋体" w:cs="Songti SC Regular"/>
                <w:color w:val="000000"/>
                <w:sz w:val="24"/>
                <w:szCs w:val="24"/>
                <w:lang w:bidi="ar-SA"/>
              </w:rPr>
              <w:t>提供</w:t>
            </w:r>
            <w:r>
              <w:rPr>
                <w:rFonts w:hint="eastAsia" w:ascii="宋体" w:cs="Songti SC Regular"/>
                <w:color w:val="000000"/>
                <w:sz w:val="24"/>
                <w:szCs w:val="24"/>
                <w:lang w:eastAsia="zh-Hans" w:bidi="ar-SA"/>
              </w:rPr>
              <w:t>政策法规分类查询、服务站点查询导航（可按区域范围筛选、按距离远近排序）、办事指南分类查询、普惠服务、生活服务、就业服务、创业服务、信息推送、信息搜索等功能；</w:t>
            </w:r>
          </w:p>
          <w:p>
            <w:pPr>
              <w:widowControl/>
              <w:numPr>
                <w:ilvl w:val="0"/>
                <w:numId w:val="8"/>
              </w:numPr>
              <w:jc w:val="left"/>
              <w:rPr>
                <w:rFonts w:hint="eastAsia" w:ascii="宋体" w:cs="Songti SC Regular"/>
                <w:color w:val="000000"/>
                <w:sz w:val="24"/>
                <w:szCs w:val="24"/>
                <w:lang w:eastAsia="zh-Hans" w:bidi="ar-SA"/>
              </w:rPr>
            </w:pPr>
            <w:r>
              <w:rPr>
                <w:rFonts w:hint="eastAsia" w:ascii="宋体" w:cs="Songti SC Regular"/>
                <w:color w:val="000000"/>
                <w:sz w:val="24"/>
                <w:szCs w:val="24"/>
                <w:lang w:bidi="ar-SA"/>
              </w:rPr>
              <w:t>个人中心</w:t>
            </w:r>
            <w:r>
              <w:rPr>
                <w:rFonts w:hint="eastAsia" w:ascii="宋体" w:cs="Songti SC Regular"/>
                <w:color w:val="000000"/>
                <w:sz w:val="24"/>
                <w:szCs w:val="24"/>
                <w:lang w:eastAsia="zh-Hans" w:bidi="ar-SA"/>
              </w:rPr>
              <w:t>：</w:t>
            </w:r>
            <w:r>
              <w:rPr>
                <w:rFonts w:hint="eastAsia" w:ascii="宋体" w:cs="Songti SC Regular"/>
                <w:color w:val="000000"/>
                <w:sz w:val="24"/>
                <w:szCs w:val="24"/>
                <w:lang w:bidi="ar-SA"/>
              </w:rPr>
              <w:t>包括个人资料、我的消息、意见反馈、我的预约、我的</w:t>
            </w:r>
            <w:r>
              <w:rPr>
                <w:rFonts w:hint="eastAsia" w:ascii="宋体" w:cs="Songti SC Regular"/>
                <w:color w:val="000000"/>
                <w:sz w:val="24"/>
                <w:szCs w:val="24"/>
                <w:lang w:eastAsia="zh-Hans" w:bidi="ar-SA"/>
              </w:rPr>
              <w:t>收藏</w:t>
            </w:r>
            <w:r>
              <w:rPr>
                <w:rFonts w:hint="eastAsia" w:ascii="宋体" w:cs="Songti SC Regular"/>
                <w:color w:val="000000"/>
                <w:sz w:val="24"/>
                <w:szCs w:val="24"/>
                <w:lang w:bidi="ar-SA"/>
              </w:rPr>
              <w:t>、办理进度查询和修改密码等。通过个人中心，用户可查询和了解个人信息、业务办理情况和完成修改密码等操作。需要登录平台后，用户才能使用权限范围内的相应功能</w:t>
            </w:r>
            <w:r>
              <w:rPr>
                <w:rFonts w:hint="eastAsia" w:ascii="宋体" w:cs="Songti SC Regular"/>
                <w:color w:val="000000"/>
                <w:sz w:val="24"/>
                <w:szCs w:val="24"/>
                <w:lang w:eastAsia="zh-Hans" w:bidi="ar-SA"/>
              </w:rPr>
              <w:t>。</w:t>
            </w:r>
          </w:p>
          <w:p>
            <w:pPr>
              <w:pStyle w:val="2"/>
              <w:rPr>
                <w:color w:val="000000"/>
                <w:sz w:val="24"/>
                <w:szCs w:val="24"/>
                <w:lang w:eastAsia="zh-Hans"/>
              </w:rPr>
            </w:pPr>
            <w:r>
              <w:rPr>
                <w:rFonts w:hint="eastAsia" w:ascii="宋体" w:hAnsi="Times New Roman" w:eastAsia="宋体" w:cs="Songti SC Regular"/>
                <w:color w:val="000000"/>
                <w:kern w:val="2"/>
                <w:sz w:val="24"/>
                <w:szCs w:val="24"/>
                <w:lang w:val="en-US" w:eastAsia="zh-CN" w:bidi="ar-SA"/>
              </w:rPr>
              <w:t>10、★</w:t>
            </w:r>
            <w:r>
              <w:rPr>
                <w:rFonts w:hint="eastAsia"/>
                <w:sz w:val="24"/>
                <w:szCs w:val="24"/>
                <w:lang w:val="en-US" w:eastAsia="zh-CN"/>
              </w:rPr>
              <w:t>投标人提供的软件</w:t>
            </w:r>
            <w:r>
              <w:rPr>
                <w:rFonts w:hint="eastAsia"/>
                <w:sz w:val="24"/>
                <w:szCs w:val="24"/>
                <w:lang w:eastAsia="zh-Hans"/>
              </w:rPr>
              <w:t>包含具有</w:t>
            </w:r>
            <w:r>
              <w:rPr>
                <w:rFonts w:hint="eastAsia" w:ascii="宋体" w:hAnsi="Times New Roman" w:eastAsia="宋体" w:cs="Songti SC Regular"/>
                <w:color w:val="000000"/>
                <w:kern w:val="2"/>
                <w:sz w:val="24"/>
                <w:szCs w:val="24"/>
                <w:lang w:val="en-US" w:eastAsia="zh-Hans" w:bidi="ar-SA"/>
              </w:rPr>
              <w:t>包含“微信公众服务”“服务超市”</w:t>
            </w:r>
            <w:r>
              <w:rPr>
                <w:rFonts w:hint="eastAsia"/>
                <w:color w:val="000000"/>
                <w:sz w:val="24"/>
                <w:szCs w:val="24"/>
                <w:lang w:eastAsia="zh-CN"/>
              </w:rPr>
              <w:t>“</w:t>
            </w:r>
            <w:r>
              <w:rPr>
                <w:rFonts w:hint="eastAsia"/>
                <w:color w:val="000000"/>
                <w:sz w:val="24"/>
                <w:szCs w:val="24"/>
                <w:lang w:val="en-US" w:eastAsia="zh-CN"/>
              </w:rPr>
              <w:t>服务管理</w:t>
            </w:r>
            <w:r>
              <w:rPr>
                <w:rFonts w:hint="eastAsia"/>
                <w:color w:val="000000"/>
                <w:sz w:val="24"/>
                <w:szCs w:val="24"/>
                <w:lang w:eastAsia="zh-CN"/>
              </w:rPr>
              <w:t>”（</w:t>
            </w:r>
            <w:r>
              <w:rPr>
                <w:rFonts w:hint="eastAsia" w:ascii="宋体" w:hAnsi="Times New Roman" w:eastAsia="宋体" w:cs="Songti SC Regular"/>
                <w:color w:val="000000"/>
                <w:kern w:val="2"/>
                <w:sz w:val="24"/>
                <w:szCs w:val="24"/>
                <w:lang w:val="en-US" w:eastAsia="zh-Hans" w:bidi="ar-SA"/>
              </w:rPr>
              <w:t>需</w:t>
            </w:r>
            <w:r>
              <w:rPr>
                <w:rFonts w:hint="eastAsia"/>
                <w:color w:val="000000"/>
                <w:sz w:val="24"/>
                <w:szCs w:val="24"/>
                <w:lang w:val="en-US" w:eastAsia="zh-CN"/>
              </w:rPr>
              <w:t>至少提供1个相关证书复印件</w:t>
            </w:r>
            <w:r>
              <w:rPr>
                <w:rFonts w:hint="eastAsia"/>
                <w:color w:val="000000"/>
                <w:sz w:val="24"/>
                <w:szCs w:val="24"/>
                <w:lang w:eastAsia="zh-CN"/>
              </w:rPr>
              <w:t>）</w:t>
            </w:r>
            <w:r>
              <w:rPr>
                <w:rFonts w:hint="eastAsia" w:ascii="宋体" w:hAnsi="Times New Roman" w:eastAsia="宋体" w:cs="Songti SC Regular"/>
                <w:color w:val="000000"/>
                <w:kern w:val="2"/>
                <w:sz w:val="24"/>
                <w:szCs w:val="24"/>
                <w:lang w:val="en-US" w:eastAsia="zh-Hans" w:bidi="ar-SA"/>
              </w:rPr>
              <w:t>“移动信息精准推送”</w:t>
            </w:r>
            <w:r>
              <w:rPr>
                <w:rFonts w:hint="eastAsia" w:ascii="宋体" w:hAnsi="Times New Roman" w:eastAsia="宋体" w:cs="Songti SC Regular"/>
                <w:color w:val="000000"/>
                <w:kern w:val="2"/>
                <w:sz w:val="24"/>
                <w:szCs w:val="24"/>
                <w:lang w:val="en-US" w:eastAsia="zh-CN" w:bidi="ar-SA"/>
              </w:rPr>
              <w:t>“移动应用项目管理”</w:t>
            </w:r>
            <w:r>
              <w:rPr>
                <w:rFonts w:hint="eastAsia" w:ascii="宋体" w:hAnsi="Times New Roman" w:eastAsia="宋体" w:cs="Songti SC Regular"/>
                <w:color w:val="000000"/>
                <w:kern w:val="2"/>
                <w:sz w:val="24"/>
                <w:szCs w:val="24"/>
                <w:lang w:val="en-US" w:eastAsia="zh-Hans" w:bidi="ar-SA"/>
              </w:rPr>
              <w:t>“数据及服务协同应用软件”字样的软件著作权登记证书（需提</w:t>
            </w:r>
            <w:r>
              <w:rPr>
                <w:rFonts w:hint="eastAsia" w:ascii="宋体" w:cs="Songti SC Regular"/>
                <w:color w:val="000000"/>
                <w:kern w:val="2"/>
                <w:sz w:val="24"/>
                <w:szCs w:val="24"/>
                <w:lang w:val="en-US" w:eastAsia="zh-CN" w:bidi="ar-SA"/>
              </w:rPr>
              <w:t>至少1个</w:t>
            </w:r>
            <w:r>
              <w:rPr>
                <w:rFonts w:hint="eastAsia" w:ascii="宋体" w:hAnsi="Times New Roman" w:eastAsia="宋体" w:cs="Songti SC Regular"/>
                <w:color w:val="000000"/>
                <w:kern w:val="2"/>
                <w:sz w:val="24"/>
                <w:szCs w:val="24"/>
                <w:lang w:val="en-US" w:eastAsia="zh-Hans" w:bidi="ar-SA"/>
              </w:rPr>
              <w:t>相关供证书复印件）；</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套</w:t>
            </w:r>
          </w:p>
        </w:tc>
        <w:tc>
          <w:tcPr>
            <w:tcW w:w="1590" w:type="dxa"/>
            <w:noWrap w:val="0"/>
            <w:vAlign w:val="center"/>
          </w:tcPr>
          <w:p>
            <w:pPr>
              <w:widowControl/>
              <w:jc w:val="left"/>
              <w:rPr>
                <w:rFonts w:hint="eastAsia" w:ascii="宋体" w:cs="宋体"/>
                <w:b/>
                <w:bCs/>
                <w:color w:val="000000"/>
                <w:kern w:val="0"/>
                <w:sz w:val="24"/>
                <w:szCs w:val="24"/>
                <w:lang w:bidi="ar-SA"/>
              </w:rPr>
            </w:pPr>
            <w:r>
              <w:rPr>
                <w:rFonts w:hint="eastAsia" w:ascii="宋体" w:cs="宋体"/>
                <w:b/>
                <w:bCs/>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4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眉山退役军人就创业系统</w:t>
            </w:r>
          </w:p>
        </w:tc>
        <w:tc>
          <w:tcPr>
            <w:tcW w:w="5413" w:type="dxa"/>
            <w:noWrap w:val="0"/>
            <w:vAlign w:val="center"/>
          </w:tcPr>
          <w:p>
            <w:pPr>
              <w:widowControl/>
              <w:numPr>
                <w:ilvl w:val="0"/>
                <w:numId w:val="9"/>
              </w:numPr>
              <w:jc w:val="left"/>
              <w:rPr>
                <w:rFonts w:hint="eastAsia" w:ascii="宋体" w:cs="Songti SC Regular"/>
                <w:color w:val="000000"/>
                <w:sz w:val="24"/>
                <w:szCs w:val="24"/>
                <w:lang w:bidi="ar-SA"/>
              </w:rPr>
            </w:pPr>
            <w:r>
              <w:rPr>
                <w:rFonts w:hint="eastAsia" w:ascii="宋体" w:cs="Songti SC Regular"/>
                <w:color w:val="000000"/>
                <w:sz w:val="24"/>
                <w:szCs w:val="24"/>
                <w:lang w:bidi="ar-SA"/>
              </w:rPr>
              <w:t>眉山退役军人就业培训管控系统主要为有就业需求、教育培训需求的退役军人、用人单位企业、日常服务、三方金融机构与培训机构提供与就业创业以及教育培训相关的各类服务；为有创业需求的退役军人提供提供创业指导与创业服务；为就业创业相关科室工作人员提供接就业服务管理、创业服务管理、教育培训管理和就业创业及教育培训数据分析等功能</w:t>
            </w:r>
            <w:r>
              <w:rPr>
                <w:rFonts w:hint="eastAsia" w:ascii="宋体" w:cs="Songti SC Regular"/>
                <w:color w:val="000000"/>
                <w:sz w:val="24"/>
                <w:szCs w:val="24"/>
                <w:lang w:eastAsia="zh-Hans" w:bidi="ar-SA"/>
              </w:rPr>
              <w:t>；</w:t>
            </w:r>
            <w:r>
              <w:rPr>
                <w:rFonts w:hint="eastAsia" w:ascii="宋体" w:cs="Songti SC Regular"/>
                <w:color w:val="000000"/>
                <w:sz w:val="24"/>
                <w:szCs w:val="24"/>
                <w:lang w:bidi="ar-SA"/>
              </w:rPr>
              <w:t>系统由前台服务功能与后台管理功能2部分组成。</w:t>
            </w:r>
          </w:p>
          <w:p>
            <w:pPr>
              <w:widowControl/>
              <w:numPr>
                <w:ilvl w:val="0"/>
                <w:numId w:val="9"/>
              </w:numPr>
              <w:jc w:val="left"/>
              <w:rPr>
                <w:rFonts w:hint="eastAsia" w:ascii="宋体" w:cs="Songti SC Regular"/>
                <w:color w:val="000000"/>
                <w:sz w:val="24"/>
                <w:szCs w:val="24"/>
                <w:lang w:eastAsia="zh-Hans" w:bidi="ar-SA"/>
              </w:rPr>
            </w:pPr>
            <w:r>
              <w:rPr>
                <w:rFonts w:hint="eastAsia" w:ascii="宋体" w:cs="Songti SC Regular"/>
                <w:color w:val="000000"/>
                <w:sz w:val="24"/>
                <w:szCs w:val="24"/>
                <w:lang w:bidi="ar-SA"/>
              </w:rPr>
              <w:t>用户注册登陆</w:t>
            </w:r>
            <w:r>
              <w:rPr>
                <w:rFonts w:hint="eastAsia" w:ascii="宋体" w:cs="Songti SC Regular"/>
                <w:color w:val="000000"/>
                <w:sz w:val="24"/>
                <w:szCs w:val="24"/>
                <w:lang w:eastAsia="zh-Hans" w:bidi="ar-SA"/>
              </w:rPr>
              <w:t>：</w:t>
            </w:r>
            <w:r>
              <w:rPr>
                <w:rFonts w:hint="eastAsia" w:ascii="宋体" w:cs="Songti SC Regular"/>
                <w:color w:val="000000"/>
                <w:sz w:val="24"/>
                <w:szCs w:val="24"/>
                <w:lang w:bidi="ar-SA"/>
              </w:rPr>
              <w:t>用户注册、用户登录以及找回密码功能</w:t>
            </w:r>
            <w:r>
              <w:rPr>
                <w:rFonts w:hint="eastAsia" w:ascii="宋体" w:cs="Songti SC Regular"/>
                <w:color w:val="000000"/>
                <w:sz w:val="24"/>
                <w:szCs w:val="24"/>
                <w:lang w:eastAsia="zh-Hans" w:bidi="ar-SA"/>
              </w:rPr>
              <w:t>，</w:t>
            </w:r>
            <w:r>
              <w:rPr>
                <w:rFonts w:hint="eastAsia" w:ascii="宋体" w:cs="Songti SC Regular"/>
                <w:color w:val="000000"/>
                <w:sz w:val="24"/>
                <w:szCs w:val="24"/>
                <w:lang w:bidi="ar-SA"/>
              </w:rPr>
              <w:t>注册需审核注册人员的身份资质</w:t>
            </w:r>
            <w:r>
              <w:rPr>
                <w:rFonts w:hint="eastAsia" w:ascii="宋体" w:cs="Songti SC Regular"/>
                <w:color w:val="000000"/>
                <w:sz w:val="24"/>
                <w:szCs w:val="24"/>
                <w:lang w:eastAsia="zh-Hans" w:bidi="ar-SA"/>
              </w:rPr>
              <w:t>；</w:t>
            </w:r>
          </w:p>
          <w:p>
            <w:pPr>
              <w:widowControl/>
              <w:numPr>
                <w:ilvl w:val="0"/>
                <w:numId w:val="9"/>
              </w:numPr>
              <w:jc w:val="left"/>
              <w:rPr>
                <w:rFonts w:hint="eastAsia" w:ascii="宋体" w:cs="Songti SC Regular"/>
                <w:color w:val="000000"/>
                <w:sz w:val="24"/>
                <w:szCs w:val="24"/>
                <w:lang w:eastAsia="zh-Hans" w:bidi="ar-SA"/>
              </w:rPr>
            </w:pPr>
            <w:r>
              <w:rPr>
                <w:rFonts w:hint="eastAsia" w:ascii="宋体" w:cs="Songti SC Regular"/>
                <w:color w:val="000000"/>
                <w:sz w:val="24"/>
                <w:szCs w:val="24"/>
                <w:lang w:bidi="ar-SA"/>
              </w:rPr>
              <w:t>系统首页</w:t>
            </w:r>
            <w:r>
              <w:rPr>
                <w:rFonts w:hint="eastAsia" w:ascii="宋体" w:cs="Songti SC Regular"/>
                <w:color w:val="000000"/>
                <w:sz w:val="24"/>
                <w:szCs w:val="24"/>
                <w:lang w:eastAsia="zh-Hans" w:bidi="ar-SA"/>
              </w:rPr>
              <w:t>：</w:t>
            </w:r>
            <w:r>
              <w:rPr>
                <w:rFonts w:hint="eastAsia" w:ascii="宋体" w:cs="Songti SC Regular"/>
                <w:color w:val="000000"/>
                <w:sz w:val="24"/>
                <w:szCs w:val="24"/>
                <w:lang w:bidi="ar-SA"/>
              </w:rPr>
              <w:t>系统首页作为网站门户，提供注册、登录、招聘、教育培训入口，实现就创业新闻、就创业活动、就创业相关政策、企业招聘、教育培训等信息的展示，方便退役军人快速了解信息，获取服务</w:t>
            </w:r>
            <w:r>
              <w:rPr>
                <w:rFonts w:hint="eastAsia" w:ascii="宋体" w:cs="Songti SC Regular"/>
                <w:color w:val="000000"/>
                <w:sz w:val="24"/>
                <w:szCs w:val="24"/>
                <w:lang w:eastAsia="zh-Hans" w:bidi="ar-SA"/>
              </w:rPr>
              <w:t>；</w:t>
            </w:r>
          </w:p>
          <w:p>
            <w:pPr>
              <w:widowControl/>
              <w:numPr>
                <w:ilvl w:val="0"/>
                <w:numId w:val="9"/>
              </w:numPr>
              <w:jc w:val="left"/>
              <w:rPr>
                <w:rFonts w:hint="eastAsia" w:ascii="宋体" w:cs="Songti SC Regular"/>
                <w:color w:val="000000"/>
                <w:sz w:val="24"/>
                <w:szCs w:val="24"/>
                <w:lang w:eastAsia="zh-Hans" w:bidi="ar-SA"/>
              </w:rPr>
            </w:pPr>
            <w:r>
              <w:rPr>
                <w:rFonts w:hint="eastAsia" w:ascii="宋体" w:cs="Songti SC Regular"/>
                <w:color w:val="000000"/>
                <w:sz w:val="24"/>
                <w:szCs w:val="24"/>
                <w:lang w:bidi="ar-SA"/>
              </w:rPr>
              <w:t>就业招聘</w:t>
            </w:r>
            <w:r>
              <w:rPr>
                <w:rFonts w:hint="eastAsia" w:ascii="宋体" w:cs="Songti SC Regular"/>
                <w:color w:val="000000"/>
                <w:sz w:val="24"/>
                <w:szCs w:val="24"/>
                <w:lang w:eastAsia="zh-Hans" w:bidi="ar-SA"/>
              </w:rPr>
              <w:t>：</w:t>
            </w:r>
            <w:r>
              <w:rPr>
                <w:rFonts w:hint="eastAsia" w:ascii="宋体" w:cs="Songti SC Regular"/>
                <w:color w:val="000000"/>
                <w:sz w:val="24"/>
                <w:szCs w:val="24"/>
                <w:lang w:bidi="ar-SA"/>
              </w:rPr>
              <w:t>提供招聘信息筛选、招聘信息查看、招聘职位收藏以及简历投递等功能</w:t>
            </w:r>
            <w:r>
              <w:rPr>
                <w:rFonts w:hint="eastAsia" w:ascii="宋体" w:cs="Songti SC Regular"/>
                <w:color w:val="000000"/>
                <w:sz w:val="24"/>
                <w:szCs w:val="24"/>
                <w:lang w:eastAsia="zh-Hans" w:bidi="ar-SA"/>
              </w:rPr>
              <w:t>；</w:t>
            </w:r>
          </w:p>
          <w:p>
            <w:pPr>
              <w:widowControl/>
              <w:numPr>
                <w:ilvl w:val="0"/>
                <w:numId w:val="9"/>
              </w:numPr>
              <w:jc w:val="left"/>
              <w:rPr>
                <w:rFonts w:hint="eastAsia" w:ascii="宋体" w:cs="Songti SC Regular"/>
                <w:color w:val="000000"/>
                <w:sz w:val="24"/>
                <w:szCs w:val="24"/>
                <w:lang w:eastAsia="zh-Hans" w:bidi="ar-SA"/>
              </w:rPr>
            </w:pPr>
            <w:r>
              <w:rPr>
                <w:rFonts w:hint="eastAsia" w:ascii="宋体" w:cs="Songti SC Regular"/>
                <w:color w:val="000000"/>
                <w:sz w:val="24"/>
                <w:szCs w:val="24"/>
                <w:lang w:bidi="ar-SA"/>
              </w:rPr>
              <w:t>教育培训</w:t>
            </w:r>
            <w:r>
              <w:rPr>
                <w:rFonts w:hint="eastAsia" w:ascii="宋体" w:cs="Songti SC Regular"/>
                <w:color w:val="000000"/>
                <w:sz w:val="24"/>
                <w:szCs w:val="24"/>
                <w:lang w:eastAsia="zh-Hans" w:bidi="ar-SA"/>
              </w:rPr>
              <w:t>：</w:t>
            </w:r>
            <w:r>
              <w:rPr>
                <w:rFonts w:hint="eastAsia" w:ascii="宋体" w:cs="Songti SC Regular"/>
                <w:color w:val="000000"/>
                <w:sz w:val="24"/>
                <w:szCs w:val="24"/>
                <w:lang w:bidi="ar-SA"/>
              </w:rPr>
              <w:t>提供线上培训信息查看、线下培训信息查看及线下培训报名功能</w:t>
            </w:r>
            <w:r>
              <w:rPr>
                <w:rFonts w:hint="eastAsia" w:ascii="宋体" w:cs="Songti SC Regular"/>
                <w:color w:val="000000"/>
                <w:sz w:val="24"/>
                <w:szCs w:val="24"/>
                <w:lang w:eastAsia="zh-Hans" w:bidi="ar-SA"/>
              </w:rPr>
              <w:t>；</w:t>
            </w:r>
          </w:p>
          <w:p>
            <w:pPr>
              <w:widowControl/>
              <w:numPr>
                <w:ilvl w:val="0"/>
                <w:numId w:val="9"/>
              </w:numPr>
              <w:jc w:val="left"/>
              <w:rPr>
                <w:rFonts w:hint="eastAsia" w:ascii="宋体" w:cs="Songti SC Regular"/>
                <w:color w:val="000000"/>
                <w:sz w:val="24"/>
                <w:szCs w:val="24"/>
                <w:lang w:eastAsia="zh-Hans" w:bidi="ar-SA"/>
              </w:rPr>
            </w:pPr>
            <w:r>
              <w:rPr>
                <w:rFonts w:hint="eastAsia" w:ascii="宋体" w:cs="Songti SC Regular"/>
                <w:color w:val="000000"/>
                <w:sz w:val="24"/>
                <w:szCs w:val="24"/>
                <w:lang w:bidi="ar-SA"/>
              </w:rPr>
              <w:t>创业支持</w:t>
            </w:r>
            <w:r>
              <w:rPr>
                <w:rFonts w:hint="eastAsia" w:ascii="宋体" w:cs="Songti SC Regular"/>
                <w:color w:val="000000"/>
                <w:sz w:val="24"/>
                <w:szCs w:val="24"/>
                <w:lang w:eastAsia="zh-Hans" w:bidi="ar-SA"/>
              </w:rPr>
              <w:t>：</w:t>
            </w:r>
            <w:r>
              <w:rPr>
                <w:rFonts w:hint="eastAsia" w:ascii="宋体" w:cs="Songti SC Regular"/>
                <w:color w:val="000000"/>
                <w:sz w:val="24"/>
                <w:szCs w:val="24"/>
                <w:lang w:bidi="ar-SA"/>
              </w:rPr>
              <w:t>提供创业服务申请、创业基地、创业专家及创业金融服务功能</w:t>
            </w:r>
            <w:r>
              <w:rPr>
                <w:rFonts w:hint="eastAsia" w:ascii="宋体" w:cs="Songti SC Regular"/>
                <w:color w:val="000000"/>
                <w:sz w:val="24"/>
                <w:szCs w:val="24"/>
                <w:lang w:eastAsia="zh-Hans" w:bidi="ar-SA"/>
              </w:rPr>
              <w:t>；</w:t>
            </w:r>
          </w:p>
          <w:p>
            <w:pPr>
              <w:widowControl/>
              <w:numPr>
                <w:ilvl w:val="0"/>
                <w:numId w:val="9"/>
              </w:numPr>
              <w:jc w:val="left"/>
              <w:rPr>
                <w:rFonts w:hint="eastAsia" w:ascii="宋体" w:cs="Songti SC Regular"/>
                <w:color w:val="000000"/>
                <w:sz w:val="24"/>
                <w:szCs w:val="24"/>
                <w:lang w:eastAsia="zh-Hans" w:bidi="ar-SA"/>
              </w:rPr>
            </w:pPr>
            <w:r>
              <w:rPr>
                <w:rFonts w:hint="eastAsia" w:ascii="宋体" w:cs="Songti SC Regular"/>
                <w:color w:val="000000"/>
                <w:sz w:val="24"/>
                <w:szCs w:val="24"/>
                <w:lang w:bidi="ar-SA"/>
              </w:rPr>
              <w:t>政策法规</w:t>
            </w:r>
            <w:r>
              <w:rPr>
                <w:rFonts w:hint="eastAsia" w:ascii="宋体" w:cs="Songti SC Regular"/>
                <w:color w:val="000000"/>
                <w:sz w:val="24"/>
                <w:szCs w:val="24"/>
                <w:lang w:eastAsia="zh-Hans" w:bidi="ar-SA"/>
              </w:rPr>
              <w:t>：</w:t>
            </w:r>
            <w:r>
              <w:rPr>
                <w:rFonts w:hint="eastAsia" w:ascii="宋体" w:cs="Songti SC Regular"/>
                <w:color w:val="000000"/>
                <w:sz w:val="24"/>
                <w:szCs w:val="24"/>
                <w:lang w:bidi="ar-SA"/>
              </w:rPr>
              <w:t>提供退役军人就业创业政策法规展示查询</w:t>
            </w:r>
            <w:r>
              <w:rPr>
                <w:rFonts w:hint="eastAsia" w:ascii="宋体" w:cs="Songti SC Regular"/>
                <w:color w:val="000000"/>
                <w:sz w:val="24"/>
                <w:szCs w:val="24"/>
                <w:lang w:eastAsia="zh-Hans" w:bidi="ar-SA"/>
              </w:rPr>
              <w:t>；</w:t>
            </w:r>
          </w:p>
          <w:p>
            <w:pPr>
              <w:widowControl/>
              <w:numPr>
                <w:ilvl w:val="0"/>
                <w:numId w:val="9"/>
              </w:numPr>
              <w:jc w:val="left"/>
              <w:rPr>
                <w:rFonts w:hint="eastAsia" w:ascii="宋体" w:cs="Songti SC Regular"/>
                <w:color w:val="000000"/>
                <w:sz w:val="24"/>
                <w:szCs w:val="24"/>
                <w:lang w:bidi="ar-SA"/>
              </w:rPr>
            </w:pPr>
            <w:r>
              <w:rPr>
                <w:rFonts w:hint="eastAsia" w:ascii="宋体" w:cs="Songti SC Regular"/>
                <w:color w:val="000000"/>
                <w:sz w:val="24"/>
                <w:szCs w:val="24"/>
                <w:lang w:bidi="ar-SA"/>
              </w:rPr>
              <w:t>个人中心</w:t>
            </w:r>
            <w:r>
              <w:rPr>
                <w:rFonts w:hint="eastAsia" w:ascii="宋体" w:cs="Songti SC Regular"/>
                <w:color w:val="000000"/>
                <w:sz w:val="24"/>
                <w:szCs w:val="24"/>
                <w:lang w:eastAsia="zh-Hans" w:bidi="ar-SA"/>
              </w:rPr>
              <w:t>：</w:t>
            </w:r>
            <w:r>
              <w:rPr>
                <w:rFonts w:hint="eastAsia" w:ascii="宋体" w:cs="Songti SC Regular"/>
                <w:color w:val="000000"/>
                <w:sz w:val="24"/>
                <w:szCs w:val="24"/>
                <w:lang w:bidi="ar-SA"/>
              </w:rPr>
              <w:t>前端个人中心按不同角色提供对应功能，需提供退役军人的个人信息管理、密码修改、个人简历管理、简历投递记录查看、职位收藏；需提供招聘企业的机构注册、密码修改、职位发布、人才储备库、简历搜索、查看收到的简历、签约简历的管理；需提供培训机构的机构注册、密码修改、培训信息查看发布、培训开班管理、违规学员上报管理的功能；需提供金融机构的注册认证、密码修改、金融产品查看发布和金融产品申请信息管理等功能</w:t>
            </w:r>
            <w:r>
              <w:rPr>
                <w:rFonts w:hint="eastAsia" w:ascii="宋体" w:cs="Songti SC Regular"/>
                <w:color w:val="000000"/>
                <w:sz w:val="24"/>
                <w:szCs w:val="24"/>
                <w:lang w:eastAsia="zh-Hans" w:bidi="ar-SA"/>
              </w:rPr>
              <w:t>；</w:t>
            </w:r>
          </w:p>
          <w:p>
            <w:pPr>
              <w:widowControl/>
              <w:numPr>
                <w:ilvl w:val="0"/>
                <w:numId w:val="9"/>
              </w:numPr>
              <w:jc w:val="left"/>
              <w:rPr>
                <w:rFonts w:hint="eastAsia" w:ascii="宋体" w:cs="Songti SC Regular"/>
                <w:color w:val="000000"/>
                <w:sz w:val="24"/>
                <w:szCs w:val="24"/>
                <w:lang w:eastAsia="zh-Hans" w:bidi="ar-SA"/>
              </w:rPr>
            </w:pPr>
            <w:r>
              <w:rPr>
                <w:rFonts w:hint="eastAsia" w:ascii="宋体" w:cs="Songti SC Regular"/>
                <w:color w:val="000000"/>
                <w:sz w:val="24"/>
                <w:szCs w:val="24"/>
                <w:lang w:bidi="ar-SA"/>
              </w:rPr>
              <w:t>系统管理</w:t>
            </w:r>
            <w:r>
              <w:rPr>
                <w:rFonts w:hint="eastAsia" w:ascii="宋体" w:cs="Songti SC Regular"/>
                <w:color w:val="000000"/>
                <w:sz w:val="24"/>
                <w:szCs w:val="24"/>
                <w:lang w:eastAsia="zh-Hans" w:bidi="ar-SA"/>
              </w:rPr>
              <w:t>：结合一体化业务管理系统进行</w:t>
            </w:r>
            <w:r>
              <w:rPr>
                <w:rFonts w:hint="eastAsia" w:ascii="宋体" w:cs="Songti SC Regular"/>
                <w:color w:val="000000"/>
                <w:sz w:val="24"/>
                <w:szCs w:val="24"/>
                <w:lang w:bidi="ar-SA"/>
              </w:rPr>
              <w:t>组织机构管理、系统用户管理、系统角色与权限管理、数据字典管理、系统日志管理功能</w:t>
            </w:r>
            <w:r>
              <w:rPr>
                <w:rFonts w:hint="eastAsia" w:ascii="宋体" w:cs="Songti SC Regular"/>
                <w:color w:val="000000"/>
                <w:sz w:val="24"/>
                <w:szCs w:val="24"/>
                <w:lang w:eastAsia="zh-Hans" w:bidi="ar-SA"/>
              </w:rPr>
              <w:t>；</w:t>
            </w:r>
          </w:p>
          <w:p>
            <w:pPr>
              <w:widowControl/>
              <w:numPr>
                <w:ilvl w:val="0"/>
                <w:numId w:val="9"/>
              </w:numPr>
              <w:jc w:val="left"/>
              <w:rPr>
                <w:rFonts w:hint="eastAsia" w:ascii="宋体" w:cs="Songti SC Regular"/>
                <w:color w:val="000000"/>
                <w:sz w:val="24"/>
                <w:szCs w:val="24"/>
                <w:lang w:eastAsia="zh-Hans" w:bidi="ar-SA"/>
              </w:rPr>
            </w:pPr>
            <w:r>
              <w:rPr>
                <w:rFonts w:hint="eastAsia" w:ascii="宋体" w:cs="Songti SC Regular"/>
                <w:color w:val="000000"/>
                <w:sz w:val="24"/>
                <w:szCs w:val="24"/>
                <w:lang w:bidi="ar-SA"/>
              </w:rPr>
              <w:t>用户管理</w:t>
            </w:r>
            <w:r>
              <w:rPr>
                <w:rFonts w:hint="eastAsia" w:ascii="宋体" w:cs="Songti SC Regular"/>
                <w:color w:val="000000"/>
                <w:sz w:val="24"/>
                <w:szCs w:val="24"/>
                <w:lang w:eastAsia="zh-Hans" w:bidi="ar-SA"/>
              </w:rPr>
              <w:t>：</w:t>
            </w:r>
            <w:r>
              <w:rPr>
                <w:rFonts w:hint="eastAsia" w:ascii="宋体" w:cs="Songti SC Regular"/>
                <w:color w:val="000000"/>
                <w:sz w:val="24"/>
                <w:szCs w:val="24"/>
                <w:lang w:bidi="ar-SA"/>
              </w:rPr>
              <w:t>针对系统用户群体提供相关管理功能，包括退役军人用户管理、招聘企业用户管理、培训机构用户管理、金融机构用户管理等</w:t>
            </w:r>
            <w:r>
              <w:rPr>
                <w:rFonts w:hint="eastAsia" w:ascii="宋体" w:cs="Songti SC Regular"/>
                <w:color w:val="000000"/>
                <w:sz w:val="24"/>
                <w:szCs w:val="24"/>
                <w:lang w:eastAsia="zh-Hans" w:bidi="ar-SA"/>
              </w:rPr>
              <w:t>；</w:t>
            </w:r>
          </w:p>
          <w:p>
            <w:pPr>
              <w:widowControl/>
              <w:numPr>
                <w:ilvl w:val="0"/>
                <w:numId w:val="9"/>
              </w:numPr>
              <w:jc w:val="left"/>
              <w:rPr>
                <w:rFonts w:hint="eastAsia" w:ascii="宋体" w:cs="Songti SC Regular"/>
                <w:color w:val="000000"/>
                <w:sz w:val="24"/>
                <w:szCs w:val="24"/>
                <w:lang w:eastAsia="zh-Hans" w:bidi="ar-SA"/>
              </w:rPr>
            </w:pPr>
            <w:r>
              <w:rPr>
                <w:rFonts w:hint="eastAsia" w:ascii="宋体" w:cs="Songti SC Regular"/>
                <w:color w:val="000000"/>
                <w:sz w:val="24"/>
                <w:szCs w:val="24"/>
                <w:lang w:eastAsia="zh-Hans" w:bidi="ar-SA"/>
              </w:rPr>
              <w:t>审批管理：为眉山退役军人就创业系统前台各对象类别发布的信息进行审批操作，包含教育培训审批、招聘审批、金融审批、发布内容审批等；</w:t>
            </w:r>
          </w:p>
          <w:p>
            <w:pPr>
              <w:widowControl/>
              <w:numPr>
                <w:ilvl w:val="0"/>
                <w:numId w:val="9"/>
              </w:numPr>
              <w:jc w:val="left"/>
              <w:rPr>
                <w:rFonts w:hint="eastAsia" w:ascii="宋体" w:cs="Songti SC Regular"/>
                <w:color w:val="000000"/>
                <w:sz w:val="24"/>
                <w:szCs w:val="24"/>
                <w:lang w:eastAsia="zh-Hans" w:bidi="ar-SA"/>
              </w:rPr>
            </w:pPr>
            <w:r>
              <w:rPr>
                <w:rFonts w:hint="eastAsia" w:ascii="宋体" w:cs="Songti SC Regular"/>
                <w:color w:val="000000"/>
                <w:sz w:val="24"/>
                <w:szCs w:val="24"/>
                <w:lang w:eastAsia="zh-Hans" w:bidi="ar-SA"/>
              </w:rPr>
              <w:t>内容管理：包括栏目管理、内容发布管理、轮播图管理等功能；</w:t>
            </w:r>
          </w:p>
          <w:p>
            <w:pPr>
              <w:widowControl/>
              <w:numPr>
                <w:ilvl w:val="0"/>
                <w:numId w:val="9"/>
              </w:numPr>
              <w:jc w:val="left"/>
              <w:rPr>
                <w:rFonts w:hint="eastAsia" w:ascii="宋体" w:cs="Songti SC Regular"/>
                <w:color w:val="000000"/>
                <w:sz w:val="24"/>
                <w:szCs w:val="24"/>
                <w:lang w:eastAsia="zh-Hans" w:bidi="ar-SA"/>
              </w:rPr>
            </w:pPr>
            <w:r>
              <w:rPr>
                <w:rFonts w:hint="eastAsia" w:ascii="宋体" w:cs="Songti SC Regular"/>
                <w:color w:val="000000"/>
                <w:sz w:val="24"/>
                <w:szCs w:val="24"/>
                <w:lang w:eastAsia="zh-Hans" w:bidi="ar-SA"/>
              </w:rPr>
              <w:t>招聘管理：包括招聘信息管理、专题招聘活动管理等功能；</w:t>
            </w:r>
          </w:p>
          <w:p>
            <w:pPr>
              <w:widowControl/>
              <w:numPr>
                <w:ilvl w:val="0"/>
                <w:numId w:val="9"/>
              </w:numPr>
              <w:jc w:val="left"/>
              <w:rPr>
                <w:rFonts w:hint="eastAsia" w:ascii="宋体" w:cs="Songti SC Regular"/>
                <w:color w:val="000000"/>
                <w:sz w:val="24"/>
                <w:szCs w:val="24"/>
                <w:lang w:eastAsia="zh-Hans" w:bidi="ar-SA"/>
              </w:rPr>
            </w:pPr>
            <w:r>
              <w:rPr>
                <w:rFonts w:hint="eastAsia" w:ascii="宋体" w:cs="Songti SC Regular"/>
                <w:color w:val="000000"/>
                <w:sz w:val="24"/>
                <w:szCs w:val="24"/>
                <w:lang w:eastAsia="zh-Hans" w:bidi="ar-SA"/>
              </w:rPr>
              <w:t>教育培训管理：包括课程分类管理、线上课程管理、线下课程管理、违规上报管理、教育培训过程管控等功能；</w:t>
            </w:r>
          </w:p>
          <w:p>
            <w:pPr>
              <w:widowControl/>
              <w:numPr>
                <w:ilvl w:val="0"/>
                <w:numId w:val="9"/>
              </w:numPr>
              <w:jc w:val="left"/>
              <w:rPr>
                <w:rFonts w:hint="eastAsia" w:ascii="宋体" w:cs="Songti SC Regular"/>
                <w:color w:val="000000"/>
                <w:sz w:val="24"/>
                <w:szCs w:val="24"/>
                <w:lang w:eastAsia="zh-Hans" w:bidi="ar-SA"/>
              </w:rPr>
            </w:pPr>
            <w:r>
              <w:rPr>
                <w:rFonts w:hint="eastAsia" w:ascii="宋体" w:cs="Songti SC Regular"/>
                <w:color w:val="000000"/>
                <w:sz w:val="24"/>
                <w:szCs w:val="24"/>
                <w:lang w:eastAsia="zh-Hans" w:bidi="ar-SA"/>
              </w:rPr>
              <w:t>创业管理：包括创业申请管理、创业基地管理、创业指导专家管理、创业金融管理等功能；</w:t>
            </w:r>
          </w:p>
          <w:p>
            <w:pPr>
              <w:widowControl/>
              <w:numPr>
                <w:ilvl w:val="0"/>
                <w:numId w:val="9"/>
              </w:numPr>
              <w:jc w:val="left"/>
              <w:rPr>
                <w:rFonts w:hint="eastAsia" w:ascii="宋体" w:cs="Songti SC Regular"/>
                <w:color w:val="000000"/>
                <w:sz w:val="24"/>
                <w:szCs w:val="24"/>
                <w:lang w:eastAsia="zh-Hans" w:bidi="ar-SA"/>
              </w:rPr>
            </w:pPr>
            <w:r>
              <w:rPr>
                <w:rFonts w:hint="eastAsia" w:ascii="宋体" w:cs="Songti SC Regular"/>
                <w:color w:val="000000"/>
                <w:sz w:val="24"/>
                <w:szCs w:val="24"/>
                <w:lang w:eastAsia="zh-Hans" w:bidi="ar-SA"/>
              </w:rPr>
              <w:t>对接人社部门就业创业系统实现数据共享；</w:t>
            </w:r>
          </w:p>
          <w:p>
            <w:pPr>
              <w:pStyle w:val="2"/>
              <w:rPr>
                <w:color w:val="000000"/>
                <w:sz w:val="24"/>
                <w:szCs w:val="24"/>
                <w:lang w:eastAsia="zh-Hans"/>
              </w:rPr>
            </w:pPr>
            <w:r>
              <w:rPr>
                <w:rFonts w:hint="eastAsia" w:ascii="宋体" w:cs="Songti SC Regular"/>
                <w:color w:val="000000"/>
                <w:sz w:val="24"/>
                <w:szCs w:val="24"/>
                <w:lang w:bidi="ar-SA"/>
              </w:rPr>
              <w:t>17、</w:t>
            </w:r>
            <w:r>
              <w:rPr>
                <w:rFonts w:hint="eastAsia" w:ascii="宋体" w:cs="Songti SC Regular"/>
                <w:color w:val="000000"/>
                <w:sz w:val="24"/>
                <w:szCs w:val="24"/>
                <w:lang w:eastAsia="zh-Hans" w:bidi="ar-SA"/>
              </w:rPr>
              <w:t>就业创业统计分析：就业情况分析结合大数据分析及可视化系统中提供的就创业专题应用，围绕退役军人就业情况以及服务平台中就业招聘数据进行统计，按照不同维度形成各类单位岗位情况数量、各类单位岗位占比、退役军人就业率等分析结果。</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套</w:t>
            </w:r>
          </w:p>
        </w:tc>
        <w:tc>
          <w:tcPr>
            <w:tcW w:w="1590" w:type="dxa"/>
            <w:noWrap w:val="0"/>
            <w:vAlign w:val="center"/>
          </w:tcPr>
          <w:p>
            <w:pPr>
              <w:widowControl/>
              <w:jc w:val="left"/>
              <w:rPr>
                <w:rFonts w:hint="eastAsia" w:ascii="宋体" w:cs="宋体"/>
                <w:b/>
                <w:bCs/>
                <w:color w:val="000000"/>
                <w:kern w:val="0"/>
                <w:sz w:val="24"/>
                <w:szCs w:val="24"/>
                <w:lang w:bidi="ar-SA"/>
              </w:rPr>
            </w:pPr>
            <w:r>
              <w:rPr>
                <w:rFonts w:hint="eastAsia" w:ascii="宋体" w:cs="宋体"/>
                <w:b/>
                <w:bCs/>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5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短息服务</w:t>
            </w:r>
          </w:p>
        </w:tc>
        <w:tc>
          <w:tcPr>
            <w:tcW w:w="5413" w:type="dxa"/>
            <w:noWrap w:val="0"/>
            <w:vAlign w:val="center"/>
          </w:tcPr>
          <w:p>
            <w:pPr>
              <w:widowControl/>
              <w:jc w:val="left"/>
              <w:rPr>
                <w:rFonts w:hint="eastAsia" w:ascii="宋体" w:cs="宋体"/>
                <w:color w:val="000000"/>
                <w:kern w:val="0"/>
                <w:sz w:val="24"/>
                <w:szCs w:val="24"/>
                <w:lang w:bidi="ar-SA"/>
              </w:rPr>
            </w:pPr>
            <w:r>
              <w:rPr>
                <w:rFonts w:hint="eastAsia" w:ascii="宋体" w:cs="Songti SC Regular"/>
                <w:color w:val="000000"/>
                <w:kern w:val="0"/>
                <w:sz w:val="24"/>
                <w:szCs w:val="24"/>
                <w:lang w:bidi="ar-SA"/>
              </w:rPr>
              <w:t>1、包含不少于100万条短信：</w:t>
            </w:r>
            <w:r>
              <w:rPr>
                <w:rFonts w:hint="eastAsia" w:ascii="宋体" w:cs="Songti SC Regular"/>
                <w:color w:val="000000"/>
                <w:kern w:val="0"/>
                <w:sz w:val="24"/>
                <w:szCs w:val="24"/>
                <w:lang w:bidi="ar-SA"/>
              </w:rPr>
              <w:br w:type="textWrapping"/>
            </w:r>
            <w:r>
              <w:rPr>
                <w:rFonts w:hint="eastAsia" w:ascii="宋体" w:cs="Songti SC Regular"/>
                <w:color w:val="000000"/>
                <w:kern w:val="0"/>
                <w:sz w:val="24"/>
                <w:szCs w:val="24"/>
                <w:lang w:bidi="ar-SA"/>
              </w:rPr>
              <w:t>2、有效期限：2年；</w:t>
            </w:r>
            <w:r>
              <w:rPr>
                <w:rFonts w:hint="eastAsia" w:ascii="宋体" w:cs="Songti SC Regular"/>
                <w:color w:val="000000"/>
                <w:kern w:val="0"/>
                <w:sz w:val="24"/>
                <w:szCs w:val="24"/>
                <w:lang w:bidi="ar-SA"/>
              </w:rPr>
              <w:br w:type="textWrapping"/>
            </w:r>
            <w:r>
              <w:rPr>
                <w:rFonts w:hint="eastAsia" w:ascii="宋体" w:cs="Songti SC Regular"/>
                <w:color w:val="000000"/>
                <w:kern w:val="0"/>
                <w:sz w:val="24"/>
                <w:szCs w:val="24"/>
                <w:lang w:bidi="ar-SA"/>
              </w:rPr>
              <w:t>3、配合一体化服务业务办理系统“短信服务管理”功能进行使用。</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项</w:t>
            </w:r>
          </w:p>
        </w:tc>
        <w:tc>
          <w:tcPr>
            <w:tcW w:w="1590" w:type="dxa"/>
            <w:noWrap w:val="0"/>
            <w:vAlign w:val="center"/>
          </w:tcPr>
          <w:p>
            <w:pPr>
              <w:widowControl/>
              <w:jc w:val="left"/>
              <w:rPr>
                <w:rFonts w:hint="eastAsia" w:ascii="宋体" w:cs="宋体"/>
                <w:b/>
                <w:bCs/>
                <w:color w:val="000000"/>
                <w:kern w:val="0"/>
                <w:sz w:val="24"/>
                <w:szCs w:val="24"/>
                <w:lang w:bidi="ar-SA"/>
              </w:rPr>
            </w:pPr>
            <w:r>
              <w:rPr>
                <w:rFonts w:hint="eastAsia" w:ascii="宋体" w:cs="宋体"/>
                <w:b/>
                <w:bCs/>
                <w:color w:val="000000"/>
                <w:kern w:val="0"/>
                <w:sz w:val="24"/>
                <w:szCs w:val="24"/>
                <w:lang w:bidi="ar-S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6 </w:t>
            </w:r>
          </w:p>
        </w:tc>
        <w:tc>
          <w:tcPr>
            <w:tcW w:w="1273"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活体认证服务</w:t>
            </w:r>
          </w:p>
        </w:tc>
        <w:tc>
          <w:tcPr>
            <w:tcW w:w="5413" w:type="dxa"/>
            <w:noWrap w:val="0"/>
            <w:vAlign w:val="center"/>
          </w:tcPr>
          <w:p>
            <w:pPr>
              <w:widowControl/>
              <w:jc w:val="left"/>
              <w:rPr>
                <w:rFonts w:hint="eastAsia" w:ascii="宋体" w:cs="宋体"/>
                <w:color w:val="000000"/>
                <w:kern w:val="0"/>
                <w:sz w:val="24"/>
                <w:szCs w:val="24"/>
                <w:lang w:bidi="ar-SA"/>
              </w:rPr>
            </w:pPr>
            <w:r>
              <w:rPr>
                <w:rFonts w:hint="eastAsia" w:ascii="宋体" w:cs="Songti SC Regular"/>
                <w:color w:val="000000"/>
                <w:kern w:val="0"/>
                <w:sz w:val="24"/>
                <w:szCs w:val="24"/>
                <w:lang w:bidi="ar-SA"/>
              </w:rPr>
              <w:t>采购服务方式，提供不少于</w:t>
            </w:r>
            <w:r>
              <w:rPr>
                <w:rFonts w:hint="eastAsia" w:ascii="宋体" w:cs="Songti SC Regular"/>
                <w:color w:val="000000"/>
                <w:kern w:val="0"/>
                <w:sz w:val="24"/>
                <w:szCs w:val="24"/>
                <w:lang w:val="en-US" w:eastAsia="zh-CN" w:bidi="ar-SA"/>
              </w:rPr>
              <w:t>20</w:t>
            </w:r>
            <w:r>
              <w:rPr>
                <w:rFonts w:hint="eastAsia" w:ascii="宋体" w:cs="Songti SC Regular"/>
                <w:color w:val="000000"/>
                <w:kern w:val="0"/>
                <w:sz w:val="24"/>
                <w:szCs w:val="24"/>
                <w:lang w:bidi="ar-SA"/>
              </w:rPr>
              <w:t>万次活体认证服务。</w:t>
            </w:r>
          </w:p>
        </w:tc>
        <w:tc>
          <w:tcPr>
            <w:tcW w:w="640"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 xml:space="preserve">1 </w:t>
            </w:r>
          </w:p>
        </w:tc>
        <w:tc>
          <w:tcPr>
            <w:tcW w:w="656" w:type="dxa"/>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项</w:t>
            </w:r>
          </w:p>
        </w:tc>
        <w:tc>
          <w:tcPr>
            <w:tcW w:w="1590" w:type="dxa"/>
            <w:noWrap w:val="0"/>
            <w:vAlign w:val="center"/>
          </w:tcPr>
          <w:p>
            <w:pPr>
              <w:widowControl/>
              <w:jc w:val="left"/>
              <w:rPr>
                <w:rFonts w:hint="eastAsia" w:ascii="宋体" w:cs="宋体"/>
                <w:b/>
                <w:bCs/>
                <w:color w:val="000000"/>
                <w:kern w:val="0"/>
                <w:sz w:val="24"/>
                <w:szCs w:val="24"/>
                <w:lang w:bidi="ar-SA"/>
              </w:rPr>
            </w:pPr>
            <w:r>
              <w:rPr>
                <w:rFonts w:hint="eastAsia" w:ascii="宋体" w:cs="宋体"/>
                <w:b/>
                <w:bCs/>
                <w:color w:val="000000"/>
                <w:kern w:val="0"/>
                <w:sz w:val="24"/>
                <w:szCs w:val="24"/>
                <w:lang w:bidi="ar-SA"/>
              </w:rPr>
              <w:t>　</w:t>
            </w:r>
          </w:p>
        </w:tc>
      </w:tr>
    </w:tbl>
    <w:p>
      <w:pPr>
        <w:pStyle w:val="4"/>
        <w:rPr>
          <w:rFonts w:hint="default" w:ascii="宋体" w:hAnsi="Arial" w:eastAsia="宋体"/>
          <w:b/>
          <w:bCs/>
          <w:sz w:val="24"/>
          <w:szCs w:val="24"/>
          <w:lang w:val="en-US" w:eastAsia="zh-CN"/>
        </w:rPr>
      </w:pPr>
      <w:r>
        <w:rPr>
          <w:rFonts w:hint="eastAsia" w:ascii="宋体" w:hAnsi="Arial" w:eastAsia="宋体"/>
          <w:b/>
          <w:bCs/>
          <w:sz w:val="24"/>
          <w:szCs w:val="24"/>
          <w:lang w:val="en-US" w:eastAsia="zh-CN"/>
        </w:rPr>
        <w:t>四、其他要求（需单独提供承诺函）</w:t>
      </w:r>
    </w:p>
    <w:p>
      <w:pPr>
        <w:pStyle w:val="2"/>
        <w:rPr>
          <w:rFonts w:hint="default"/>
          <w:lang w:val="en-US" w:eastAsia="zh-CN"/>
        </w:rPr>
      </w:pPr>
      <w:r>
        <w:rPr>
          <w:rFonts w:hint="eastAsia" w:ascii="宋体" w:hAnsi="Times New Roman" w:cs="宋体"/>
          <w:color w:val="000000"/>
          <w:kern w:val="2"/>
          <w:sz w:val="24"/>
          <w:szCs w:val="24"/>
          <w:lang w:val="en-US" w:eastAsia="zh-CN" w:bidi="ar-SA"/>
        </w:rPr>
        <w:t>1.中标单位承诺在系统建设完成后，向业主提供有关部门的商用密码应用安全性评估报告。</w:t>
      </w:r>
    </w:p>
    <w:p>
      <w:pPr>
        <w:pStyle w:val="4"/>
        <w:rPr>
          <w:rFonts w:hint="eastAsia" w:ascii="宋体" w:eastAsia="宋体"/>
          <w:sz w:val="24"/>
          <w:szCs w:val="24"/>
        </w:rPr>
      </w:pPr>
      <w:r>
        <w:rPr>
          <w:rFonts w:hint="eastAsia" w:ascii="宋体" w:eastAsia="宋体"/>
          <w:sz w:val="24"/>
          <w:szCs w:val="24"/>
          <w:lang w:val="en-US" w:eastAsia="zh-CN"/>
        </w:rPr>
        <w:t>五</w:t>
      </w:r>
      <w:r>
        <w:rPr>
          <w:rFonts w:hint="eastAsia" w:ascii="宋体" w:eastAsia="宋体"/>
          <w:sz w:val="24"/>
          <w:szCs w:val="24"/>
        </w:rPr>
        <w:t>、商务要求</w:t>
      </w:r>
    </w:p>
    <w:p>
      <w:pPr>
        <w:pStyle w:val="2"/>
        <w:spacing w:line="360" w:lineRule="auto"/>
        <w:rPr>
          <w:rFonts w:hint="eastAsia" w:ascii="宋体" w:cs="宋体"/>
          <w:color w:val="000000"/>
          <w:sz w:val="24"/>
          <w:lang w:bidi="ar-SA"/>
        </w:rPr>
      </w:pPr>
      <w:r>
        <w:rPr>
          <w:rFonts w:hint="eastAsia" w:ascii="宋体" w:cs="宋体"/>
          <w:color w:val="000000"/>
          <w:sz w:val="24"/>
          <w:lang w:bidi="ar-SA"/>
        </w:rPr>
        <w:t xml:space="preserve">1、履约时间和地点 </w:t>
      </w:r>
    </w:p>
    <w:p>
      <w:pPr>
        <w:pStyle w:val="2"/>
        <w:spacing w:line="360" w:lineRule="auto"/>
        <w:rPr>
          <w:rFonts w:hint="eastAsia" w:ascii="宋体" w:cs="宋体"/>
          <w:color w:val="000000"/>
          <w:sz w:val="24"/>
          <w:lang w:bidi="ar-SA"/>
        </w:rPr>
      </w:pPr>
      <w:r>
        <w:rPr>
          <w:rFonts w:hint="eastAsia" w:ascii="宋体" w:cs="宋体"/>
          <w:color w:val="000000"/>
          <w:sz w:val="24"/>
          <w:lang w:bidi="ar-SA"/>
        </w:rPr>
        <w:t>（1）履约时间：本项目建设工期为</w:t>
      </w:r>
      <w:r>
        <w:rPr>
          <w:rFonts w:hint="eastAsia" w:ascii="宋体" w:cs="宋体"/>
          <w:color w:val="000000"/>
          <w:sz w:val="24"/>
          <w:lang w:val="en-US" w:eastAsia="zh-CN" w:bidi="ar-SA"/>
        </w:rPr>
        <w:t>12</w:t>
      </w:r>
      <w:r>
        <w:rPr>
          <w:rFonts w:hint="eastAsia" w:ascii="宋体" w:cs="宋体"/>
          <w:color w:val="000000"/>
          <w:sz w:val="24"/>
          <w:lang w:bidi="ar-SA"/>
        </w:rPr>
        <w:t xml:space="preserve">个月。 </w:t>
      </w:r>
    </w:p>
    <w:p>
      <w:pPr>
        <w:pStyle w:val="2"/>
        <w:spacing w:line="360" w:lineRule="auto"/>
        <w:rPr>
          <w:rFonts w:hint="eastAsia" w:ascii="宋体" w:cs="宋体"/>
          <w:color w:val="000000"/>
          <w:sz w:val="24"/>
          <w:lang w:bidi="ar-SA"/>
        </w:rPr>
      </w:pPr>
      <w:r>
        <w:rPr>
          <w:rFonts w:hint="eastAsia" w:ascii="宋体" w:cs="宋体"/>
          <w:color w:val="000000"/>
          <w:sz w:val="24"/>
          <w:lang w:bidi="ar-SA"/>
        </w:rPr>
        <w:t xml:space="preserve">（2）履约地点：采购人指定地点。 </w:t>
      </w:r>
    </w:p>
    <w:p>
      <w:pPr>
        <w:pStyle w:val="2"/>
        <w:spacing w:line="360" w:lineRule="auto"/>
        <w:rPr>
          <w:rFonts w:hint="eastAsia" w:ascii="宋体" w:cs="宋体"/>
          <w:color w:val="000000"/>
          <w:sz w:val="24"/>
          <w:lang w:bidi="ar-SA"/>
        </w:rPr>
      </w:pPr>
      <w:r>
        <w:rPr>
          <w:rFonts w:hint="eastAsia" w:ascii="宋体" w:cs="宋体"/>
          <w:color w:val="000000"/>
          <w:sz w:val="24"/>
          <w:lang w:bidi="ar-SA"/>
        </w:rPr>
        <w:t xml:space="preserve">2、合同价款：合同价是供应商响应采购项目要求的全部工作内容的价格体现，包含完成本项目所涉及人 员劳务、差旅、设备投入、调研、保险、风险、税金、利润、招标代理服务费以及采购文件规定的一切费用。 </w:t>
      </w:r>
    </w:p>
    <w:p>
      <w:pPr>
        <w:pStyle w:val="2"/>
        <w:spacing w:line="360" w:lineRule="auto"/>
        <w:rPr>
          <w:rFonts w:hint="eastAsia" w:ascii="宋体" w:cs="宋体"/>
          <w:color w:val="000000"/>
          <w:sz w:val="24"/>
          <w:lang w:bidi="ar-SA"/>
        </w:rPr>
      </w:pPr>
      <w:r>
        <w:rPr>
          <w:rFonts w:hint="eastAsia" w:ascii="宋体" w:cs="宋体"/>
          <w:color w:val="000000"/>
          <w:sz w:val="24"/>
          <w:lang w:bidi="ar-SA"/>
        </w:rPr>
        <w:t>3、付款方式 ：合同签订生效后10个工作日内，支付合同总价的30%作为预付款；完成</w:t>
      </w:r>
      <w:r>
        <w:rPr>
          <w:rFonts w:hint="eastAsia" w:ascii="宋体" w:cs="宋体"/>
          <w:color w:val="000000"/>
          <w:sz w:val="24"/>
          <w:lang w:val="en-US" w:eastAsia="zh-CN" w:bidi="ar-SA"/>
        </w:rPr>
        <w:t>所有</w:t>
      </w:r>
      <w:r>
        <w:rPr>
          <w:rFonts w:hint="eastAsia" w:ascii="宋体" w:cs="宋体"/>
          <w:color w:val="000000"/>
          <w:sz w:val="24"/>
          <w:lang w:bidi="ar-SA"/>
        </w:rPr>
        <w:t>工作并验收合格后10个工作日内，支付合同总价的</w:t>
      </w:r>
      <w:r>
        <w:rPr>
          <w:rFonts w:hint="eastAsia" w:ascii="宋体" w:cs="宋体"/>
          <w:color w:val="000000"/>
          <w:sz w:val="24"/>
          <w:lang w:val="en-US" w:eastAsia="zh-CN" w:bidi="ar-SA"/>
        </w:rPr>
        <w:t>60</w:t>
      </w:r>
      <w:r>
        <w:rPr>
          <w:rFonts w:hint="eastAsia" w:ascii="宋体" w:cs="宋体"/>
          <w:color w:val="000000"/>
          <w:sz w:val="24"/>
          <w:lang w:bidi="ar-SA"/>
        </w:rPr>
        <w:t>%；剩余合同金额的10%在维保期结束后10个工作日内无息支付。</w:t>
      </w:r>
    </w:p>
    <w:p>
      <w:pPr>
        <w:pStyle w:val="2"/>
        <w:spacing w:line="360" w:lineRule="auto"/>
        <w:rPr>
          <w:rFonts w:hint="eastAsia" w:ascii="宋体" w:cs="宋体"/>
          <w:color w:val="000000"/>
          <w:sz w:val="24"/>
          <w:lang w:bidi="ar-SA"/>
        </w:rPr>
      </w:pPr>
      <w:r>
        <w:rPr>
          <w:rFonts w:hint="eastAsia" w:ascii="宋体" w:hAnsi="Times New Roman" w:cs="宋体"/>
          <w:color w:val="000000"/>
          <w:kern w:val="2"/>
          <w:sz w:val="24"/>
          <w:szCs w:val="24"/>
          <w:lang w:val="en-US" w:eastAsia="zh-CN" w:bidi="ar-SA"/>
        </w:rPr>
        <w:t>4、大厅建设内容必须符合《退役军人服务大厅建设与运行管理规范》标准</w:t>
      </w:r>
      <w:r>
        <w:rPr>
          <w:rFonts w:hint="eastAsia" w:ascii="宋体" w:cs="宋体"/>
          <w:color w:val="000000"/>
          <w:sz w:val="24"/>
          <w:lang w:bidi="ar-SA"/>
        </w:rPr>
        <w:t xml:space="preserve"> </w:t>
      </w:r>
    </w:p>
    <w:p>
      <w:pPr>
        <w:pStyle w:val="2"/>
        <w:spacing w:line="360" w:lineRule="auto"/>
        <w:rPr>
          <w:rFonts w:hint="eastAsia" w:ascii="宋体" w:cs="宋体"/>
          <w:color w:val="000000"/>
          <w:sz w:val="24"/>
          <w:lang w:bidi="ar-SA"/>
        </w:rPr>
      </w:pPr>
      <w:r>
        <w:rPr>
          <w:rFonts w:hint="eastAsia" w:ascii="宋体" w:cs="宋体"/>
          <w:color w:val="000000"/>
          <w:sz w:val="24"/>
          <w:lang w:val="en-US" w:eastAsia="zh-CN" w:bidi="ar-SA"/>
        </w:rPr>
        <w:t>5</w:t>
      </w:r>
      <w:r>
        <w:rPr>
          <w:rFonts w:hint="eastAsia" w:ascii="宋体" w:cs="宋体"/>
          <w:color w:val="000000"/>
          <w:sz w:val="24"/>
          <w:lang w:bidi="ar-SA"/>
        </w:rPr>
        <w:t>、售后服务要求：</w:t>
      </w:r>
    </w:p>
    <w:p>
      <w:pPr>
        <w:pStyle w:val="2"/>
        <w:spacing w:line="360" w:lineRule="auto"/>
        <w:rPr>
          <w:rFonts w:hint="eastAsia" w:ascii="宋体" w:cs="宋体"/>
          <w:color w:val="000000"/>
          <w:sz w:val="24"/>
          <w:lang w:bidi="ar-SA"/>
        </w:rPr>
      </w:pPr>
      <w:r>
        <w:rPr>
          <w:rFonts w:hint="eastAsia" w:ascii="宋体" w:cs="宋体"/>
          <w:color w:val="000000"/>
          <w:sz w:val="24"/>
          <w:lang w:bidi="ar-SA"/>
        </w:rPr>
        <w:t>（1）成立前后端系统维护小组，有专门的软、硬件工程师等人员承担外场维护工作，应具备工程建设、设备安装调试、故障诊断与维修等技术保障能力，并提供现场服务和7×24小时响应服务。</w:t>
      </w:r>
    </w:p>
    <w:p>
      <w:pPr>
        <w:pStyle w:val="2"/>
        <w:spacing w:line="360" w:lineRule="auto"/>
        <w:rPr>
          <w:rFonts w:hint="eastAsia" w:ascii="宋体" w:cs="宋体"/>
          <w:color w:val="000000"/>
          <w:sz w:val="24"/>
          <w:lang w:bidi="ar-SA"/>
        </w:rPr>
      </w:pPr>
      <w:r>
        <w:rPr>
          <w:rFonts w:hint="eastAsia" w:ascii="宋体" w:cs="宋体"/>
          <w:color w:val="000000"/>
          <w:sz w:val="24"/>
          <w:lang w:bidi="ar-SA"/>
        </w:rPr>
        <w:t>（2）供应商提供本项目涉及的软硬件产品、传输网络均需提供3年维护保障。</w:t>
      </w:r>
    </w:p>
    <w:p>
      <w:pPr>
        <w:pStyle w:val="2"/>
        <w:spacing w:line="360" w:lineRule="auto"/>
        <w:rPr>
          <w:rFonts w:hint="eastAsia" w:ascii="宋体" w:cs="宋体"/>
          <w:color w:val="000000"/>
          <w:sz w:val="24"/>
          <w:lang w:bidi="ar-SA"/>
        </w:rPr>
      </w:pPr>
      <w:r>
        <w:rPr>
          <w:rFonts w:hint="eastAsia" w:ascii="宋体" w:cs="宋体"/>
          <w:color w:val="000000"/>
          <w:sz w:val="24"/>
          <w:lang w:val="en-US" w:eastAsia="zh-CN" w:bidi="ar-SA"/>
        </w:rPr>
        <w:t>6</w:t>
      </w:r>
      <w:r>
        <w:rPr>
          <w:rFonts w:hint="eastAsia" w:ascii="宋体" w:cs="宋体"/>
          <w:color w:val="000000"/>
          <w:sz w:val="24"/>
          <w:lang w:bidi="ar-SA"/>
        </w:rPr>
        <w:t>、验收：</w:t>
      </w:r>
    </w:p>
    <w:p>
      <w:pPr>
        <w:pStyle w:val="2"/>
        <w:spacing w:line="360" w:lineRule="auto"/>
        <w:rPr>
          <w:rFonts w:hint="eastAsia" w:ascii="宋体" w:cs="宋体"/>
          <w:color w:val="000000"/>
          <w:sz w:val="24"/>
          <w:lang w:bidi="ar-SA"/>
        </w:rPr>
      </w:pPr>
      <w:r>
        <w:rPr>
          <w:rFonts w:hint="eastAsia" w:ascii="宋体" w:cs="宋体"/>
          <w:color w:val="000000"/>
          <w:sz w:val="24"/>
          <w:lang w:val="en-US" w:eastAsia="zh-CN" w:bidi="ar-SA"/>
        </w:rPr>
        <w:t>6</w:t>
      </w:r>
      <w:r>
        <w:rPr>
          <w:rFonts w:hint="eastAsia" w:ascii="宋体" w:cs="宋体"/>
          <w:color w:val="000000"/>
          <w:sz w:val="24"/>
          <w:lang w:bidi="ar-SA"/>
        </w:rPr>
        <w:t xml:space="preserve">.1成交供应商与采购人应严格按照《财政部关于进一步加强政府采购需求和履约验收管理的指导意见》（财库[2016]205 号）要求进行验收。 </w:t>
      </w:r>
    </w:p>
    <w:p>
      <w:pPr>
        <w:pStyle w:val="2"/>
        <w:spacing w:line="360" w:lineRule="auto"/>
        <w:rPr>
          <w:rFonts w:hint="eastAsia" w:ascii="宋体" w:cs="宋体"/>
          <w:color w:val="000000"/>
          <w:sz w:val="24"/>
          <w:lang w:bidi="ar-SA"/>
        </w:rPr>
      </w:pPr>
      <w:r>
        <w:rPr>
          <w:rFonts w:hint="eastAsia" w:ascii="宋体" w:cs="宋体"/>
          <w:color w:val="000000"/>
          <w:sz w:val="24"/>
          <w:lang w:val="en-US" w:eastAsia="zh-CN" w:bidi="ar-SA"/>
        </w:rPr>
        <w:t>7</w:t>
      </w:r>
      <w:r>
        <w:rPr>
          <w:rFonts w:hint="eastAsia" w:ascii="宋体" w:cs="宋体"/>
          <w:color w:val="000000"/>
          <w:sz w:val="24"/>
          <w:lang w:bidi="ar-SA"/>
        </w:rPr>
        <w:t xml:space="preserve">、其他要求 </w:t>
      </w:r>
    </w:p>
    <w:p>
      <w:pPr>
        <w:pStyle w:val="2"/>
        <w:spacing w:line="360" w:lineRule="auto"/>
        <w:rPr>
          <w:rFonts w:hint="eastAsia" w:ascii="宋体" w:cs="宋体"/>
          <w:color w:val="000000"/>
          <w:sz w:val="24"/>
          <w:lang w:bidi="ar-SA"/>
        </w:rPr>
      </w:pPr>
      <w:r>
        <w:rPr>
          <w:rFonts w:hint="eastAsia" w:ascii="宋体" w:cs="宋体"/>
          <w:color w:val="000000"/>
          <w:sz w:val="24"/>
          <w:lang w:bidi="ar-SA"/>
        </w:rPr>
        <w:t xml:space="preserve">（1）供应商应保证所提供的货物、服务或其任何一部分均不会侵犯任何第三方的专利权、商标权或著作权。 </w:t>
      </w:r>
    </w:p>
    <w:p>
      <w:pPr>
        <w:pStyle w:val="2"/>
        <w:spacing w:line="360" w:lineRule="auto"/>
        <w:rPr>
          <w:rFonts w:hint="eastAsia" w:ascii="宋体" w:cs="宋体"/>
          <w:color w:val="000000"/>
          <w:sz w:val="24"/>
          <w:lang w:bidi="ar-SA"/>
        </w:rPr>
      </w:pPr>
      <w:r>
        <w:rPr>
          <w:rFonts w:hint="eastAsia" w:ascii="宋体" w:cs="宋体"/>
          <w:color w:val="000000"/>
          <w:sz w:val="24"/>
          <w:lang w:bidi="ar-SA"/>
        </w:rPr>
        <w:t xml:space="preserve">（2）采购人定期核对供应商提供服务所配备的人员数量及相关信息，对于未按照投标响应要求执行或存在不合理的部分有权下达整改通知书，并要求供应商限期整改。 </w:t>
      </w:r>
    </w:p>
    <w:p>
      <w:pPr>
        <w:pStyle w:val="2"/>
        <w:spacing w:line="360" w:lineRule="auto"/>
        <w:rPr>
          <w:rFonts w:hint="eastAsia" w:ascii="宋体" w:cs="宋体"/>
          <w:color w:val="000000"/>
          <w:sz w:val="24"/>
          <w:lang w:bidi="ar-SA"/>
        </w:rPr>
      </w:pPr>
      <w:r>
        <w:rPr>
          <w:rFonts w:hint="eastAsia" w:ascii="宋体" w:cs="宋体"/>
          <w:color w:val="000000"/>
          <w:sz w:val="24"/>
          <w:lang w:bidi="ar-SA"/>
        </w:rPr>
        <w:t xml:space="preserve">（3）供应商定期及时向采购人通告本项目服务范围内有关服务的重大事项及其进度。 </w:t>
      </w:r>
    </w:p>
    <w:p>
      <w:pPr>
        <w:pStyle w:val="2"/>
        <w:spacing w:line="360" w:lineRule="auto"/>
        <w:rPr>
          <w:rFonts w:hint="eastAsia" w:ascii="宋体" w:cs="宋体"/>
          <w:color w:val="000000"/>
          <w:sz w:val="24"/>
          <w:lang w:bidi="ar-SA"/>
        </w:rPr>
      </w:pPr>
      <w:r>
        <w:rPr>
          <w:rFonts w:hint="eastAsia" w:ascii="宋体" w:cs="宋体"/>
          <w:color w:val="000000"/>
          <w:sz w:val="24"/>
          <w:lang w:bidi="ar-SA"/>
        </w:rPr>
        <w:t xml:space="preserve">（4）接受项目行业管理部门及政府有关部门的指导，接受采购人的监督。 </w:t>
      </w:r>
    </w:p>
    <w:p>
      <w:pPr>
        <w:rPr>
          <w:color w:val="000080"/>
          <w:sz w:val="20"/>
          <w:highlight w:val="none"/>
        </w:rPr>
      </w:pPr>
    </w:p>
    <w:p>
      <w:pPr>
        <w:pStyle w:val="3"/>
        <w:pageBreakBefore/>
        <w:jc w:val="center"/>
        <w:rPr>
          <w:rFonts w:ascii="宋体" w:hAnsi="宋体"/>
          <w:highlight w:val="none"/>
        </w:rPr>
      </w:pPr>
      <w:bookmarkStart w:id="47" w:name="_Toc484268473"/>
      <w:bookmarkStart w:id="48" w:name="_Toc78978673"/>
      <w:r>
        <w:rPr>
          <w:rFonts w:hint="eastAsia" w:ascii="宋体" w:hAnsi="宋体"/>
          <w:highlight w:val="none"/>
        </w:rPr>
        <w:t>第五章  评标办法</w:t>
      </w:r>
      <w:bookmarkEnd w:id="47"/>
      <w:bookmarkEnd w:id="48"/>
    </w:p>
    <w:p>
      <w:pPr>
        <w:spacing w:line="400" w:lineRule="exact"/>
        <w:ind w:firstLine="472" w:firstLineChars="196"/>
        <w:rPr>
          <w:rFonts w:asciiTheme="minorEastAsia" w:hAnsiTheme="minorEastAsia" w:eastAsiaTheme="minorEastAsia"/>
          <w:b/>
          <w:sz w:val="24"/>
          <w:szCs w:val="24"/>
          <w:highlight w:val="none"/>
        </w:rPr>
      </w:pPr>
      <w:r>
        <w:rPr>
          <w:rFonts w:hint="eastAsia" w:asciiTheme="minorEastAsia" w:hAnsiTheme="minorEastAsia" w:eastAsiaTheme="minorEastAsia"/>
          <w:b/>
          <w:sz w:val="24"/>
          <w:szCs w:val="24"/>
          <w:highlight w:val="none"/>
        </w:rPr>
        <w:t>1、 总则</w:t>
      </w:r>
    </w:p>
    <w:p>
      <w:pPr>
        <w:spacing w:line="400" w:lineRule="exact"/>
        <w:ind w:firstLine="480" w:firstLineChars="200"/>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1.1 根据《中华人民共和国政府采购法》、《中华人民共和国政府采购法实施条例》、《政府采购货物和服务招标投标管理办法》（财政部令第87号）、等法律制度，结合采购项目特点制定本评标办法。</w:t>
      </w:r>
    </w:p>
    <w:p>
      <w:pPr>
        <w:spacing w:line="400" w:lineRule="exact"/>
        <w:ind w:firstLine="480" w:firstLineChars="200"/>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1.2 评标工作由采购人和采购代理机构负责组织，具体评标事务由采购人依法组建的评标委员会负责。评标委员会由采购人代表和有关技术、经济、法律等方面的专家组成。</w:t>
      </w:r>
    </w:p>
    <w:p>
      <w:pPr>
        <w:spacing w:line="400" w:lineRule="exact"/>
        <w:ind w:firstLine="480" w:firstLineChars="200"/>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1.3 评标工作应遵循公平、公正、科学及择优的原则，并以相同的评标程序和标准对待所有的投标人。</w:t>
      </w:r>
    </w:p>
    <w:p>
      <w:pPr>
        <w:spacing w:line="400" w:lineRule="exact"/>
        <w:ind w:firstLine="480" w:firstLineChars="200"/>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1.4 评标委员会按照招标文件规定的评标方法和标准进行评标，并独立履行下列职责：</w:t>
      </w:r>
    </w:p>
    <w:p>
      <w:pPr>
        <w:spacing w:line="400" w:lineRule="exact"/>
        <w:ind w:firstLine="480" w:firstLineChars="200"/>
        <w:rPr>
          <w:rFonts w:asciiTheme="minorEastAsia" w:hAnsiTheme="minorEastAsia" w:eastAsiaTheme="minorEastAsia"/>
          <w:sz w:val="24"/>
          <w:szCs w:val="24"/>
          <w:highlight w:val="none"/>
        </w:rPr>
      </w:pPr>
      <w:bookmarkStart w:id="49" w:name="_Toc217446098"/>
      <w:r>
        <w:rPr>
          <w:rFonts w:hint="eastAsia" w:asciiTheme="minorEastAsia" w:hAnsiTheme="minorEastAsia" w:eastAsiaTheme="minorEastAsia"/>
          <w:sz w:val="24"/>
          <w:szCs w:val="24"/>
          <w:highlight w:val="none"/>
        </w:rPr>
        <w:t>（1）熟悉和理解招标文件；</w:t>
      </w:r>
    </w:p>
    <w:p>
      <w:pPr>
        <w:spacing w:line="400" w:lineRule="exact"/>
        <w:ind w:firstLine="480" w:firstLineChars="200"/>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（2）审查供应商投标文件等是否满足招标文件的实质性要求，并作出比较和评价；</w:t>
      </w:r>
    </w:p>
    <w:p>
      <w:pPr>
        <w:spacing w:line="400" w:lineRule="exact"/>
        <w:ind w:firstLine="480" w:firstLineChars="200"/>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（3）根据需要要求采购人、采购代理机构对招标文件作出解释；根据需要要求供应商对投标文件有关事项作出澄清、说明或者更正；</w:t>
      </w:r>
    </w:p>
    <w:p>
      <w:pPr>
        <w:spacing w:line="400" w:lineRule="exact"/>
        <w:ind w:firstLine="480" w:firstLineChars="200"/>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（4）推荐中标候选供应商，或者受采购人委托确定中标供应商；</w:t>
      </w:r>
    </w:p>
    <w:p>
      <w:pPr>
        <w:spacing w:line="400" w:lineRule="exact"/>
        <w:ind w:firstLine="480" w:firstLineChars="200"/>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（5）起草评标报告并进行签署；</w:t>
      </w:r>
    </w:p>
    <w:p>
      <w:pPr>
        <w:spacing w:line="400" w:lineRule="exact"/>
        <w:ind w:firstLine="480" w:firstLineChars="200"/>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（6）向采购人、采购代理机构、财政部门或者其他监督部门报告非法干预评标工作的行为；</w:t>
      </w:r>
    </w:p>
    <w:p>
      <w:pPr>
        <w:spacing w:line="400" w:lineRule="exact"/>
        <w:ind w:firstLine="480" w:firstLineChars="200"/>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（7）法律、法规和规章规定的其他职责。</w:t>
      </w:r>
    </w:p>
    <w:p>
      <w:pPr>
        <w:spacing w:line="400" w:lineRule="exact"/>
        <w:ind w:firstLine="482" w:firstLineChars="200"/>
        <w:rPr>
          <w:rFonts w:asciiTheme="minorEastAsia" w:hAnsiTheme="minorEastAsia" w:eastAsiaTheme="minorEastAsia"/>
          <w:b/>
          <w:sz w:val="24"/>
          <w:szCs w:val="24"/>
          <w:highlight w:val="none"/>
        </w:rPr>
      </w:pPr>
      <w:r>
        <w:rPr>
          <w:rFonts w:hint="eastAsia" w:asciiTheme="minorEastAsia" w:hAnsiTheme="minorEastAsia" w:eastAsiaTheme="minorEastAsia"/>
          <w:b/>
          <w:sz w:val="24"/>
          <w:szCs w:val="24"/>
          <w:highlight w:val="none"/>
        </w:rPr>
        <w:t>1.5 评标过程独立、保密。投标人非法干预评标过程的行为将导致其投标文件作为无效处理。</w:t>
      </w:r>
    </w:p>
    <w:p>
      <w:pPr>
        <w:spacing w:line="400" w:lineRule="exact"/>
        <w:ind w:firstLine="480" w:firstLineChars="200"/>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1.6评标委员会评价投标文件的响应性，对于投标人而言，除评标委员会要求其澄清、说明或者更正而提供的资料外，仅依据投标文件本身的内容，不寻求其他外部证据。</w:t>
      </w:r>
    </w:p>
    <w:p>
      <w:pPr>
        <w:spacing w:line="400" w:lineRule="exact"/>
        <w:ind w:firstLine="472" w:firstLineChars="196"/>
        <w:rPr>
          <w:rFonts w:asciiTheme="minorEastAsia" w:hAnsiTheme="minorEastAsia" w:eastAsiaTheme="minorEastAsia"/>
          <w:sz w:val="24"/>
          <w:szCs w:val="24"/>
          <w:highlight w:val="none"/>
        </w:rPr>
      </w:pPr>
      <w:r>
        <w:rPr>
          <w:rFonts w:hint="eastAsia" w:asciiTheme="minorEastAsia" w:hAnsiTheme="minorEastAsia" w:eastAsiaTheme="minorEastAsia"/>
          <w:b/>
          <w:sz w:val="24"/>
          <w:szCs w:val="24"/>
          <w:highlight w:val="none"/>
        </w:rPr>
        <w:t>2、评标方法</w:t>
      </w:r>
    </w:p>
    <w:p>
      <w:pPr>
        <w:spacing w:line="400" w:lineRule="exact"/>
        <w:ind w:firstLine="480" w:firstLineChars="200"/>
        <w:rPr>
          <w:rFonts w:asciiTheme="minorEastAsia" w:hAnsiTheme="minorEastAsia" w:eastAsiaTheme="minorEastAsia"/>
          <w:color w:val="auto"/>
          <w:sz w:val="24"/>
          <w:szCs w:val="24"/>
          <w:highlight w:val="none"/>
        </w:rPr>
      </w:pPr>
      <w:r>
        <w:rPr>
          <w:rFonts w:hint="eastAsia" w:asciiTheme="minorEastAsia" w:hAnsiTheme="minorEastAsia" w:eastAsiaTheme="minorEastAsia"/>
          <w:sz w:val="24"/>
          <w:szCs w:val="24"/>
          <w:highlight w:val="none"/>
        </w:rPr>
        <w:t>本项目评标方法为：</w:t>
      </w:r>
      <w:r>
        <w:rPr>
          <w:rFonts w:hint="eastAsia" w:asciiTheme="minorEastAsia" w:hAnsiTheme="minorEastAsia" w:eastAsiaTheme="minorEastAsia"/>
          <w:b/>
          <w:color w:val="auto"/>
          <w:sz w:val="24"/>
          <w:szCs w:val="24"/>
          <w:highlight w:val="none"/>
        </w:rPr>
        <w:t>综合评分法</w:t>
      </w:r>
    </w:p>
    <w:p>
      <w:pPr>
        <w:spacing w:line="400" w:lineRule="exact"/>
        <w:ind w:firstLine="480" w:firstLineChars="200"/>
        <w:rPr>
          <w:rFonts w:asciiTheme="minorEastAsia" w:hAnsiTheme="minorEastAsia" w:eastAsiaTheme="minorEastAsia"/>
          <w:b/>
          <w:sz w:val="24"/>
          <w:szCs w:val="24"/>
          <w:highlight w:val="none"/>
        </w:rPr>
      </w:pPr>
      <w:r>
        <w:rPr>
          <w:rFonts w:hint="eastAsia" w:asciiTheme="minorEastAsia" w:hAnsiTheme="minorEastAsia" w:eastAsiaTheme="minorEastAsia"/>
          <w:sz w:val="24"/>
          <w:szCs w:val="24"/>
          <w:highlight w:val="none"/>
        </w:rPr>
        <w:t>3、</w:t>
      </w:r>
      <w:r>
        <w:rPr>
          <w:rFonts w:hint="eastAsia" w:asciiTheme="minorEastAsia" w:hAnsiTheme="minorEastAsia" w:eastAsiaTheme="minorEastAsia"/>
          <w:b/>
          <w:sz w:val="24"/>
          <w:szCs w:val="24"/>
          <w:highlight w:val="none"/>
        </w:rPr>
        <w:t xml:space="preserve"> 评标程序</w:t>
      </w:r>
      <w:bookmarkEnd w:id="49"/>
    </w:p>
    <w:p>
      <w:pPr>
        <w:spacing w:line="400" w:lineRule="exact"/>
        <w:ind w:firstLine="482" w:firstLineChars="200"/>
        <w:rPr>
          <w:rFonts w:asciiTheme="minorEastAsia" w:hAnsiTheme="minorEastAsia" w:eastAsiaTheme="minorEastAsia"/>
          <w:b/>
          <w:sz w:val="24"/>
          <w:szCs w:val="24"/>
          <w:highlight w:val="none"/>
        </w:rPr>
      </w:pPr>
      <w:bookmarkStart w:id="50" w:name="_Toc217446103"/>
      <w:bookmarkStart w:id="51" w:name="_Toc217446099"/>
      <w:r>
        <w:rPr>
          <w:rFonts w:hint="eastAsia" w:asciiTheme="minorEastAsia" w:hAnsiTheme="minorEastAsia" w:eastAsiaTheme="minorEastAsia"/>
          <w:b/>
          <w:sz w:val="24"/>
          <w:szCs w:val="24"/>
          <w:highlight w:val="none"/>
        </w:rPr>
        <w:t>3.1熟悉和理解招标文件和停止评标。</w:t>
      </w:r>
    </w:p>
    <w:p>
      <w:pPr>
        <w:spacing w:line="400" w:lineRule="exact"/>
        <w:ind w:firstLine="480" w:firstLineChars="200"/>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3.1.1评标委员会正式评标前，应当对招标文件进行熟悉和理解，内容主要包括招标文件中采购项目技术、服务和商务要求、评标方法和标准以及可能涉及签订政府采购合同的内容等。</w:t>
      </w:r>
    </w:p>
    <w:p>
      <w:pPr>
        <w:spacing w:line="400" w:lineRule="exact"/>
        <w:ind w:firstLine="480" w:firstLineChars="200"/>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3.1.2评标委员会熟悉和理解招标文件以及评标过程中，发现本招标文件有下列情形之一的，评标委员会应当停止评标：</w:t>
      </w:r>
    </w:p>
    <w:p>
      <w:pPr>
        <w:spacing w:line="400" w:lineRule="exact"/>
        <w:ind w:firstLine="480" w:firstLineChars="200"/>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（1）</w:t>
      </w:r>
      <w:r>
        <w:rPr>
          <w:rFonts w:asciiTheme="minorEastAsia" w:hAnsiTheme="minorEastAsia" w:eastAsiaTheme="minorEastAsia"/>
          <w:sz w:val="24"/>
          <w:szCs w:val="24"/>
          <w:highlight w:val="none"/>
        </w:rPr>
        <w:t>评标委员会发现招标文件存在歧义、重大缺陷导致评标工作无法进行，或者招标文件内容违反国家有关强制性规定的，应当停止评标工作，与采购人或者采购代理机构沟通并作书面记录。</w:t>
      </w:r>
    </w:p>
    <w:p>
      <w:pPr>
        <w:spacing w:line="400" w:lineRule="exact"/>
        <w:ind w:firstLine="480" w:firstLineChars="200"/>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（2）招标文件明显以不合理条件对供应商实行差别待遇或者歧视待遇的；</w:t>
      </w:r>
    </w:p>
    <w:p>
      <w:pPr>
        <w:spacing w:line="400" w:lineRule="exact"/>
        <w:ind w:firstLine="480" w:firstLineChars="200"/>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（3）采购项目属于国家规定的优先、强制采购范围，但是招标文件未依法体现优先、强制采购相关规定的；</w:t>
      </w:r>
    </w:p>
    <w:p>
      <w:pPr>
        <w:spacing w:line="400" w:lineRule="exact"/>
        <w:ind w:firstLine="480" w:firstLineChars="200"/>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（4）采购项目属于政府采购促进中小企业发展的范围，但是招标文件未依法体现促进中小企业发展相关规定的；</w:t>
      </w:r>
    </w:p>
    <w:p>
      <w:pPr>
        <w:spacing w:line="400" w:lineRule="exact"/>
        <w:ind w:firstLine="480" w:firstLineChars="200"/>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（5）招标文件规定的评标方法是综合评分法、最低评标价法之外的评标方法，或者虽然名称为综合评分法、最低评标价法，但实际上不符合国家规定；</w:t>
      </w:r>
    </w:p>
    <w:p>
      <w:pPr>
        <w:spacing w:line="400" w:lineRule="exact"/>
        <w:ind w:firstLine="480" w:firstLineChars="200"/>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（6）招标文件将投标人的资格条件列为评分因素的；</w:t>
      </w:r>
    </w:p>
    <w:p>
      <w:pPr>
        <w:spacing w:line="400" w:lineRule="exact"/>
        <w:ind w:firstLine="480" w:firstLineChars="200"/>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（7）招标文件有违反国家其他有关强制性规定的情形。</w:t>
      </w:r>
    </w:p>
    <w:p>
      <w:pPr>
        <w:spacing w:line="400" w:lineRule="exact"/>
        <w:ind w:firstLine="480" w:firstLineChars="200"/>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3.1.3出现本条3.1.2规定应情形的，评标委员会成员应当向采购人、采购代理机构书面说明情况。除本条规定和评标委员会无法依法组建的情形外，评标委员会成员不得以任何方式和理由停止评标。</w:t>
      </w:r>
    </w:p>
    <w:p>
      <w:pPr>
        <w:spacing w:line="400" w:lineRule="exact"/>
        <w:ind w:firstLine="482" w:firstLineChars="200"/>
        <w:rPr>
          <w:rFonts w:asciiTheme="minorEastAsia" w:hAnsiTheme="minorEastAsia" w:eastAsiaTheme="minorEastAsia"/>
          <w:b/>
          <w:sz w:val="24"/>
          <w:szCs w:val="24"/>
          <w:highlight w:val="none"/>
        </w:rPr>
      </w:pPr>
      <w:r>
        <w:rPr>
          <w:rFonts w:hint="eastAsia" w:asciiTheme="minorEastAsia" w:hAnsiTheme="minorEastAsia" w:eastAsiaTheme="minorEastAsia"/>
          <w:b/>
          <w:sz w:val="24"/>
          <w:szCs w:val="24"/>
          <w:highlight w:val="none"/>
        </w:rPr>
        <w:t>3.2符合性检查。</w:t>
      </w:r>
    </w:p>
    <w:p>
      <w:pPr>
        <w:spacing w:line="400" w:lineRule="exact"/>
        <w:ind w:firstLine="480" w:firstLineChars="200"/>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3.2.1评标委员会依据本招标文件的实质性要求，对符合资格的投标文件进行审查，以确定其是否满足本招标文件的实质性要求。本项目符合性审查事项仅限于本招标文件的明确规定。投标文件是否满足招标文件的实质性要求，必须以本招标文件的明确规定作为依据，否则，不能对投标文件作为无效处理，评标委员会不得臆测符合性审查事项。</w:t>
      </w:r>
    </w:p>
    <w:p>
      <w:pPr>
        <w:spacing w:line="400" w:lineRule="exact"/>
        <w:ind w:firstLine="480" w:firstLineChars="200"/>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3.2.2</w:t>
      </w:r>
      <w:r>
        <w:rPr>
          <w:rFonts w:asciiTheme="minorEastAsia" w:hAnsiTheme="minorEastAsia" w:eastAsiaTheme="minorEastAsia"/>
          <w:sz w:val="24"/>
          <w:szCs w:val="24"/>
          <w:highlight w:val="none"/>
        </w:rPr>
        <w:t>符合性审查内容：</w:t>
      </w:r>
    </w:p>
    <w:p>
      <w:pPr>
        <w:spacing w:line="400" w:lineRule="exact"/>
        <w:ind w:firstLine="480" w:firstLineChars="200"/>
        <w:rPr>
          <w:rFonts w:asciiTheme="minorEastAsia" w:hAnsiTheme="minorEastAsia" w:eastAsiaTheme="minorEastAsia"/>
          <w:sz w:val="24"/>
          <w:szCs w:val="24"/>
          <w:highlight w:val="none"/>
        </w:rPr>
      </w:pPr>
      <w:r>
        <w:rPr>
          <w:rFonts w:asciiTheme="minorEastAsia" w:hAnsiTheme="minorEastAsia" w:eastAsiaTheme="minorEastAsia"/>
          <w:sz w:val="24"/>
          <w:szCs w:val="24"/>
          <w:highlight w:val="none"/>
        </w:rPr>
        <w:t>(1)投标文件是否按照招标文件要求进行签章；</w:t>
      </w:r>
    </w:p>
    <w:p>
      <w:pPr>
        <w:spacing w:line="400" w:lineRule="exact"/>
        <w:ind w:firstLine="480" w:firstLineChars="200"/>
        <w:rPr>
          <w:rFonts w:asciiTheme="minorEastAsia" w:hAnsiTheme="minorEastAsia" w:eastAsiaTheme="minorEastAsia"/>
          <w:sz w:val="24"/>
          <w:szCs w:val="24"/>
          <w:highlight w:val="none"/>
        </w:rPr>
      </w:pPr>
      <w:r>
        <w:rPr>
          <w:rFonts w:asciiTheme="minorEastAsia" w:hAnsiTheme="minorEastAsia" w:eastAsiaTheme="minorEastAsia"/>
          <w:sz w:val="24"/>
          <w:szCs w:val="24"/>
          <w:highlight w:val="none"/>
        </w:rPr>
        <w:t>(2)投标文件的格式、语言、计量单位、报价货币、投标有效期等</w:t>
      </w:r>
      <w:r>
        <w:rPr>
          <w:rFonts w:hint="eastAsia" w:asciiTheme="minorEastAsia" w:hAnsiTheme="minorEastAsia" w:eastAsiaTheme="minorEastAsia"/>
          <w:sz w:val="24"/>
          <w:szCs w:val="24"/>
          <w:highlight w:val="none"/>
        </w:rPr>
        <w:t>是否符合招标文件的规定要求；</w:t>
      </w:r>
    </w:p>
    <w:p>
      <w:pPr>
        <w:spacing w:line="400" w:lineRule="exact"/>
        <w:ind w:firstLine="480" w:firstLineChars="200"/>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(3)投标文件组成明显不符合招标文件的规定要求，影响评标委员会评判的；</w:t>
      </w:r>
    </w:p>
    <w:p>
      <w:pPr>
        <w:spacing w:line="400" w:lineRule="exact"/>
        <w:ind w:firstLine="480" w:firstLineChars="200"/>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(4)履约时间、方式、数量和其他政府采购合同主要条款是否符合招标文件的规定要求；</w:t>
      </w:r>
    </w:p>
    <w:p>
      <w:pPr>
        <w:spacing w:line="400" w:lineRule="exact"/>
        <w:ind w:firstLine="480" w:firstLineChars="200"/>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(5)投标文件技术、服务应答内容（仅限于技术、服务及其他要求中明确的实质性要求）是否符合招标文件的规定要求；</w:t>
      </w:r>
    </w:p>
    <w:p>
      <w:pPr>
        <w:spacing w:line="400" w:lineRule="exact"/>
        <w:ind w:firstLine="480" w:firstLineChars="200"/>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(6)报价是否超过招标文件中规定的预算金额或者最高限价之一的。</w:t>
      </w:r>
    </w:p>
    <w:p>
      <w:pPr>
        <w:spacing w:line="400" w:lineRule="exact"/>
        <w:ind w:firstLine="482" w:firstLineChars="200"/>
        <w:rPr>
          <w:rFonts w:asciiTheme="minorEastAsia" w:hAnsiTheme="minorEastAsia" w:eastAsiaTheme="minorEastAsia"/>
          <w:b/>
          <w:sz w:val="24"/>
          <w:szCs w:val="24"/>
          <w:highlight w:val="none"/>
        </w:rPr>
      </w:pPr>
      <w:r>
        <w:rPr>
          <w:rFonts w:hint="eastAsia" w:asciiTheme="minorEastAsia" w:hAnsiTheme="minorEastAsia" w:eastAsiaTheme="minorEastAsia"/>
          <w:b/>
          <w:sz w:val="24"/>
          <w:szCs w:val="24"/>
          <w:highlight w:val="none"/>
        </w:rPr>
        <w:t>投标文件有上述情形之一的，作为无效投标处理。</w:t>
      </w:r>
    </w:p>
    <w:p>
      <w:pPr>
        <w:spacing w:line="400" w:lineRule="exact"/>
        <w:ind w:firstLine="480" w:firstLineChars="200"/>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3.2.3比较与评价。按招标文件中规定的评标方法和标准，对未作无效投标处理的投标文件进行技术、服务、商务等方面评估，综合比较与评价。</w:t>
      </w:r>
    </w:p>
    <w:p>
      <w:pPr>
        <w:spacing w:line="400" w:lineRule="exact"/>
        <w:ind w:firstLine="482" w:firstLineChars="200"/>
        <w:rPr>
          <w:rFonts w:asciiTheme="minorEastAsia" w:hAnsiTheme="minorEastAsia" w:eastAsiaTheme="minorEastAsia"/>
          <w:sz w:val="24"/>
          <w:szCs w:val="24"/>
          <w:highlight w:val="none"/>
        </w:rPr>
      </w:pPr>
      <w:r>
        <w:rPr>
          <w:rFonts w:hint="eastAsia" w:asciiTheme="minorEastAsia" w:hAnsiTheme="minorEastAsia" w:eastAsiaTheme="minorEastAsia"/>
          <w:b/>
          <w:sz w:val="24"/>
          <w:szCs w:val="24"/>
          <w:highlight w:val="none"/>
        </w:rPr>
        <w:t>低于成本价、价格加成、折扣的评审详见投标人须知前附表。</w:t>
      </w:r>
    </w:p>
    <w:p>
      <w:pPr>
        <w:spacing w:line="400" w:lineRule="exact"/>
        <w:ind w:firstLine="482" w:firstLineChars="200"/>
        <w:rPr>
          <w:rFonts w:asciiTheme="minorEastAsia" w:hAnsiTheme="minorEastAsia" w:eastAsiaTheme="minorEastAsia"/>
          <w:b/>
          <w:sz w:val="24"/>
          <w:szCs w:val="24"/>
          <w:highlight w:val="none"/>
        </w:rPr>
      </w:pPr>
      <w:r>
        <w:rPr>
          <w:rFonts w:hint="eastAsia" w:asciiTheme="minorEastAsia" w:hAnsiTheme="minorEastAsia" w:eastAsiaTheme="minorEastAsia"/>
          <w:b/>
          <w:sz w:val="24"/>
          <w:szCs w:val="24"/>
          <w:highlight w:val="none"/>
        </w:rPr>
        <w:t>评标委员会不得以下列情形对供应商投标文件作无效处理。</w:t>
      </w:r>
    </w:p>
    <w:p>
      <w:pPr>
        <w:spacing w:line="400" w:lineRule="exact"/>
        <w:ind w:firstLine="480" w:firstLineChars="200"/>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（1）投标人报价小数位数；</w:t>
      </w:r>
    </w:p>
    <w:p>
      <w:pPr>
        <w:spacing w:line="400" w:lineRule="exact"/>
        <w:ind w:firstLine="480" w:firstLineChars="200"/>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（2）投标文件装订、纸张、文件排序、编目编码等非实质性的格式、形式问题。</w:t>
      </w:r>
    </w:p>
    <w:p>
      <w:pPr>
        <w:spacing w:line="400" w:lineRule="exact"/>
        <w:ind w:firstLine="480" w:firstLineChars="200"/>
        <w:rPr>
          <w:rFonts w:asciiTheme="minorEastAsia" w:hAnsiTheme="minorEastAsia" w:eastAsiaTheme="minorEastAsia"/>
          <w:b/>
          <w:sz w:val="24"/>
          <w:szCs w:val="24"/>
          <w:highlight w:val="none"/>
        </w:rPr>
      </w:pPr>
      <w:r>
        <w:rPr>
          <w:rFonts w:hint="eastAsia" w:asciiTheme="minorEastAsia" w:hAnsiTheme="minorEastAsia" w:eastAsiaTheme="minorEastAsia"/>
          <w:sz w:val="24"/>
          <w:szCs w:val="24"/>
          <w:highlight w:val="none"/>
        </w:rPr>
        <w:t>（3）供应商投标文件格式不符合采购文件所述的投标文件格式要求（正文内容缺失除外，正文内容不包含填写附注说明内容）。</w:t>
      </w:r>
    </w:p>
    <w:p>
      <w:pPr>
        <w:spacing w:line="400" w:lineRule="exact"/>
        <w:ind w:firstLine="482" w:firstLineChars="200"/>
        <w:rPr>
          <w:rFonts w:asciiTheme="minorEastAsia" w:hAnsiTheme="minorEastAsia" w:eastAsiaTheme="minorEastAsia"/>
          <w:sz w:val="24"/>
          <w:szCs w:val="24"/>
          <w:highlight w:val="none"/>
        </w:rPr>
      </w:pPr>
      <w:r>
        <w:rPr>
          <w:rFonts w:hint="eastAsia" w:asciiTheme="minorEastAsia" w:hAnsiTheme="minorEastAsia" w:eastAsiaTheme="minorEastAsia"/>
          <w:b/>
          <w:sz w:val="24"/>
          <w:szCs w:val="24"/>
          <w:highlight w:val="none"/>
        </w:rPr>
        <w:t>3.3复核。</w:t>
      </w:r>
      <w:r>
        <w:rPr>
          <w:rFonts w:hint="eastAsia" w:asciiTheme="minorEastAsia" w:hAnsiTheme="minorEastAsia" w:eastAsiaTheme="minorEastAsia"/>
          <w:sz w:val="24"/>
          <w:szCs w:val="24"/>
          <w:highlight w:val="none"/>
        </w:rPr>
        <w:t>评标结果汇总结束后，评标委员会应当进行复核，特别要对拟推荐为中标候选供应商的、报价最低的、投标文件被认定为无效的进行重点复核。</w:t>
      </w:r>
    </w:p>
    <w:p>
      <w:pPr>
        <w:spacing w:line="400" w:lineRule="exact"/>
        <w:ind w:firstLine="482" w:firstLineChars="200"/>
        <w:rPr>
          <w:rFonts w:asciiTheme="minorEastAsia" w:hAnsiTheme="minorEastAsia" w:eastAsiaTheme="minorEastAsia"/>
          <w:sz w:val="24"/>
          <w:szCs w:val="24"/>
          <w:highlight w:val="none"/>
        </w:rPr>
      </w:pPr>
      <w:r>
        <w:rPr>
          <w:rFonts w:hint="eastAsia" w:asciiTheme="minorEastAsia" w:hAnsiTheme="minorEastAsia" w:eastAsiaTheme="minorEastAsia"/>
          <w:b/>
          <w:sz w:val="24"/>
          <w:szCs w:val="24"/>
          <w:highlight w:val="none"/>
        </w:rPr>
        <w:t>3.4推荐中标候选供应商。</w:t>
      </w:r>
    </w:p>
    <w:p>
      <w:pPr>
        <w:spacing w:line="400" w:lineRule="exact"/>
        <w:ind w:firstLine="472" w:firstLineChars="196"/>
        <w:rPr>
          <w:rFonts w:asciiTheme="minorEastAsia" w:hAnsiTheme="minorEastAsia" w:eastAsiaTheme="minorEastAsia"/>
          <w:sz w:val="24"/>
          <w:szCs w:val="24"/>
          <w:highlight w:val="none"/>
        </w:rPr>
      </w:pPr>
      <w:r>
        <w:rPr>
          <w:rFonts w:hint="eastAsia" w:asciiTheme="minorEastAsia" w:hAnsiTheme="minorEastAsia" w:eastAsiaTheme="minorEastAsia"/>
          <w:b/>
          <w:sz w:val="24"/>
          <w:szCs w:val="24"/>
          <w:highlight w:val="none"/>
        </w:rPr>
        <w:t>采用综合评分法的，</w:t>
      </w:r>
      <w:r>
        <w:rPr>
          <w:rFonts w:hint="eastAsia" w:asciiTheme="minorEastAsia" w:hAnsiTheme="minorEastAsia" w:eastAsiaTheme="minorEastAsia"/>
          <w:sz w:val="24"/>
          <w:szCs w:val="24"/>
          <w:highlight w:val="none"/>
        </w:rPr>
        <w:t>评标结果按评审后得分由高到低顺序排列，得分相同的，按投标报价由低到高顺序排列，得分且投标报价相同的由评标委员会组织供应商抽签确定供应商排序。投标文件满足招标文件全部实质性要求，且按照评审因素的量化指标评审得分最高的投标人为排名第一的中标候选人。</w:t>
      </w:r>
    </w:p>
    <w:p>
      <w:pPr>
        <w:spacing w:line="400" w:lineRule="exact"/>
        <w:ind w:firstLine="482" w:firstLineChars="200"/>
        <w:rPr>
          <w:rFonts w:asciiTheme="minorEastAsia" w:hAnsiTheme="minorEastAsia" w:eastAsiaTheme="minorEastAsia"/>
          <w:sz w:val="24"/>
          <w:szCs w:val="24"/>
          <w:highlight w:val="none"/>
        </w:rPr>
      </w:pPr>
      <w:r>
        <w:rPr>
          <w:rFonts w:hint="eastAsia" w:asciiTheme="minorEastAsia" w:hAnsiTheme="minorEastAsia" w:eastAsiaTheme="minorEastAsia"/>
          <w:b/>
          <w:sz w:val="24"/>
          <w:szCs w:val="24"/>
          <w:highlight w:val="none"/>
        </w:rPr>
        <w:t>3.5出具评标报告。</w:t>
      </w:r>
      <w:r>
        <w:rPr>
          <w:rFonts w:hint="eastAsia" w:asciiTheme="minorEastAsia" w:hAnsiTheme="minorEastAsia" w:eastAsiaTheme="minorEastAsia"/>
          <w:sz w:val="24"/>
          <w:szCs w:val="24"/>
          <w:highlight w:val="none"/>
        </w:rPr>
        <w:t>评标委员会推荐中标候选供应商后，应当向采购人、采购代理机构出具评标报告。评标报告应当包括下列内容：</w:t>
      </w:r>
    </w:p>
    <w:p>
      <w:pPr>
        <w:spacing w:line="400" w:lineRule="exact"/>
        <w:ind w:firstLine="480" w:firstLineChars="200"/>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（1）招标公告刊登的媒体名称、开标日期和地点；</w:t>
      </w:r>
    </w:p>
    <w:p>
      <w:pPr>
        <w:spacing w:line="400" w:lineRule="exact"/>
        <w:ind w:firstLine="480" w:firstLineChars="200"/>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（2）获取招标文件的投标人名单和评标委员会成员名单；</w:t>
      </w:r>
    </w:p>
    <w:p>
      <w:pPr>
        <w:spacing w:line="400" w:lineRule="exact"/>
        <w:ind w:firstLine="480" w:firstLineChars="200"/>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（3）评标方法和标准；</w:t>
      </w:r>
    </w:p>
    <w:p>
      <w:pPr>
        <w:spacing w:line="400" w:lineRule="exact"/>
        <w:ind w:firstLine="480" w:firstLineChars="200"/>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（4）开标记录和评标情况及说明，包括无效投标人名单及原因；</w:t>
      </w:r>
    </w:p>
    <w:p>
      <w:pPr>
        <w:spacing w:line="400" w:lineRule="exact"/>
        <w:ind w:firstLine="480" w:firstLineChars="200"/>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（5）评标结果和中标候选供应商排序表；</w:t>
      </w:r>
    </w:p>
    <w:p>
      <w:pPr>
        <w:spacing w:line="400" w:lineRule="exact"/>
        <w:ind w:firstLine="480" w:firstLineChars="200"/>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（6）评标委员会授标建议；</w:t>
      </w:r>
    </w:p>
    <w:p>
      <w:pPr>
        <w:spacing w:line="400" w:lineRule="exact"/>
        <w:ind w:firstLine="482" w:firstLineChars="200"/>
        <w:rPr>
          <w:rFonts w:asciiTheme="minorEastAsia" w:hAnsiTheme="minorEastAsia" w:eastAsiaTheme="minorEastAsia"/>
          <w:b/>
          <w:sz w:val="24"/>
          <w:szCs w:val="24"/>
          <w:highlight w:val="none"/>
        </w:rPr>
      </w:pPr>
      <w:r>
        <w:rPr>
          <w:rFonts w:hint="eastAsia" w:asciiTheme="minorEastAsia" w:hAnsiTheme="minorEastAsia" w:eastAsiaTheme="minorEastAsia"/>
          <w:b/>
          <w:sz w:val="24"/>
          <w:szCs w:val="24"/>
          <w:highlight w:val="none"/>
        </w:rPr>
        <w:t>（7）报价最高的投标人为中标候选人的，评标委员会应当对其报价的合理性予以特别说明。</w:t>
      </w:r>
    </w:p>
    <w:p>
      <w:pPr>
        <w:spacing w:line="400" w:lineRule="exact"/>
        <w:ind w:firstLine="480" w:firstLineChars="200"/>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评标委员会成员应当在评标报告中签字确认，对评标过程和结果有不同意见的，应当在评标报告中写明并说明理由。签字但未写明不同意见或者未说明理由的，视同无意见。拒不签字又未另行书面说明其不同意见和理由的，视同同意评标结果。</w:t>
      </w:r>
    </w:p>
    <w:p>
      <w:pPr>
        <w:spacing w:line="400" w:lineRule="exact"/>
        <w:ind w:firstLine="482" w:firstLineChars="200"/>
        <w:rPr>
          <w:rFonts w:asciiTheme="minorEastAsia" w:hAnsiTheme="minorEastAsia" w:eastAsiaTheme="minorEastAsia"/>
          <w:sz w:val="24"/>
          <w:szCs w:val="24"/>
          <w:highlight w:val="none"/>
        </w:rPr>
      </w:pPr>
      <w:r>
        <w:rPr>
          <w:rFonts w:hint="eastAsia" w:asciiTheme="minorEastAsia" w:hAnsiTheme="minorEastAsia" w:eastAsiaTheme="minorEastAsia"/>
          <w:b/>
          <w:sz w:val="24"/>
          <w:szCs w:val="24"/>
          <w:highlight w:val="none"/>
        </w:rPr>
        <w:t>3.6评标争议处理规则。</w:t>
      </w:r>
      <w:r>
        <w:rPr>
          <w:rFonts w:hint="eastAsia" w:asciiTheme="minorEastAsia" w:hAnsiTheme="minorEastAsia" w:eastAsiaTheme="minorEastAsia"/>
          <w:sz w:val="24"/>
          <w:szCs w:val="24"/>
          <w:highlight w:val="none"/>
        </w:rPr>
        <w:t>评标委员会在评审过程中，对投标文件做无效投标处理及其他需要共同认定的事项存在争议的，应当以少数服从多数的原则做出结论，但不得违背法律法规和招标文件规定。有不同意见的评标委员会成员认为认定过程和结果不符合法律法规或者招标文件规定的，应当及时向采购人、采购代理机构书面反映。采购人、采购代理机构收到书面反映后，应当书面报告采购项目同级财政部门依法处理。</w:t>
      </w:r>
    </w:p>
    <w:p>
      <w:pPr>
        <w:spacing w:line="400" w:lineRule="exact"/>
        <w:ind w:firstLine="482" w:firstLineChars="200"/>
        <w:rPr>
          <w:rFonts w:asciiTheme="minorEastAsia" w:hAnsiTheme="minorEastAsia" w:eastAsiaTheme="minorEastAsia"/>
          <w:b/>
          <w:sz w:val="24"/>
          <w:szCs w:val="24"/>
          <w:highlight w:val="none"/>
        </w:rPr>
      </w:pPr>
      <w:r>
        <w:rPr>
          <w:rFonts w:hint="eastAsia" w:asciiTheme="minorEastAsia" w:hAnsiTheme="minorEastAsia" w:eastAsiaTheme="minorEastAsia"/>
          <w:b/>
          <w:sz w:val="24"/>
          <w:szCs w:val="24"/>
          <w:highlight w:val="none"/>
        </w:rPr>
        <w:t>3.7澄清、说明或者更正。</w:t>
      </w:r>
    </w:p>
    <w:p>
      <w:pPr>
        <w:spacing w:line="400" w:lineRule="exact"/>
        <w:ind w:firstLine="480" w:firstLineChars="200"/>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3.7.1在评审过程中，评审委员会认为采购文件有关事项表述不明确或需要说明的，可以要求采购人、采购代理机构书面解释。采购人、采购代理机构应当给予书面解释。采购人、采购代理机构的解释不得改变采购文件的原义和影响公平、公正。</w:t>
      </w:r>
      <w:r>
        <w:rPr>
          <w:rFonts w:hint="eastAsia" w:asciiTheme="minorEastAsia" w:hAnsiTheme="minorEastAsia" w:eastAsiaTheme="minorEastAsia"/>
          <w:b/>
          <w:sz w:val="24"/>
          <w:szCs w:val="24"/>
          <w:highlight w:val="none"/>
        </w:rPr>
        <w:t>采购人、代购代理机构应在60分钟内回复。</w:t>
      </w:r>
    </w:p>
    <w:p>
      <w:pPr>
        <w:spacing w:line="400" w:lineRule="exact"/>
        <w:ind w:firstLine="480" w:firstLineChars="200"/>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3.7.2在评标过程中，供应商投标文件实质性符合招标文件要求的前提下，评标委员会对投标文件中含义不明确、同类问题表述不一致或者有明显文字和计算错误的内容，应当以书面形式（须由评标委员会全体成员签字）要求供应商作出必要的书面澄清、说明或者更正。</w:t>
      </w:r>
    </w:p>
    <w:p>
      <w:pPr>
        <w:spacing w:line="400" w:lineRule="exact"/>
        <w:ind w:firstLine="480" w:firstLineChars="200"/>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3.7.3供应商应当书面澄清、说明或者更正，并加盖公章或签字确认（供应商为法人的，应当由其法定代表人或者代理人签字确认；供应商为其他组织的，应当由其主要负责人或者代理人签字确认；供应商为自然人的，应当由其本人或者代理人签字确认），否则无效。澄清、说明或者更正不影响投标文件的效力，有效的澄清、说明或者更正材料，是投标文件的组成部分，</w:t>
      </w:r>
      <w:r>
        <w:rPr>
          <w:rFonts w:hint="eastAsia" w:asciiTheme="minorEastAsia" w:hAnsiTheme="minorEastAsia" w:eastAsiaTheme="minorEastAsia"/>
          <w:b/>
          <w:sz w:val="24"/>
          <w:szCs w:val="24"/>
          <w:highlight w:val="none"/>
        </w:rPr>
        <w:t>供应商应在评标委员会发出澄清、说明或者更正后60分钟内回复，超过时间的视为未回复。</w:t>
      </w:r>
    </w:p>
    <w:p>
      <w:pPr>
        <w:spacing w:line="400" w:lineRule="exact"/>
        <w:ind w:firstLine="480" w:firstLineChars="200"/>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3.7.4评标委员会要求供应商澄清、说明或者更正，不得超出招标文件的范围，不得以此让供应商实质改变投标文件的内容，不得影响供应商公平竞争。本项目下列内容不得澄清：</w:t>
      </w:r>
    </w:p>
    <w:p>
      <w:pPr>
        <w:spacing w:line="400" w:lineRule="exact"/>
        <w:ind w:firstLine="480" w:firstLineChars="200"/>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（1）按财政部规定应当在评标时不予承认的投标文件内容事项；</w:t>
      </w:r>
    </w:p>
    <w:p>
      <w:pPr>
        <w:spacing w:line="400" w:lineRule="exact"/>
        <w:ind w:firstLine="480" w:firstLineChars="200"/>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（2）投标文件中已经明确的内容事项；</w:t>
      </w:r>
    </w:p>
    <w:p>
      <w:pPr>
        <w:spacing w:line="400" w:lineRule="exact"/>
        <w:ind w:firstLine="480" w:firstLineChars="200"/>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（3）投标文件未提供的材料。</w:t>
      </w:r>
    </w:p>
    <w:p>
      <w:pPr>
        <w:spacing w:line="400" w:lineRule="exact"/>
        <w:ind w:firstLine="472" w:firstLineChars="196"/>
        <w:rPr>
          <w:rFonts w:asciiTheme="minorEastAsia" w:hAnsiTheme="minorEastAsia" w:eastAsiaTheme="minorEastAsia"/>
          <w:sz w:val="24"/>
          <w:szCs w:val="24"/>
          <w:highlight w:val="none"/>
        </w:rPr>
      </w:pPr>
      <w:r>
        <w:rPr>
          <w:rFonts w:hint="eastAsia" w:asciiTheme="minorEastAsia" w:hAnsiTheme="minorEastAsia" w:eastAsiaTheme="minorEastAsia"/>
          <w:b/>
          <w:color w:val="000000"/>
          <w:sz w:val="24"/>
          <w:szCs w:val="24"/>
          <w:highlight w:val="none"/>
        </w:rPr>
        <w:t>3.7.5评标委员会发出澄清</w:t>
      </w:r>
      <w:r>
        <w:rPr>
          <w:rFonts w:asciiTheme="minorEastAsia" w:hAnsiTheme="minorEastAsia" w:eastAsiaTheme="minorEastAsia"/>
          <w:b/>
          <w:color w:val="000000"/>
          <w:sz w:val="24"/>
          <w:szCs w:val="24"/>
          <w:highlight w:val="none"/>
        </w:rPr>
        <w:t>，</w:t>
      </w:r>
      <w:r>
        <w:rPr>
          <w:rFonts w:hint="eastAsia" w:asciiTheme="minorEastAsia" w:hAnsiTheme="minorEastAsia" w:eastAsiaTheme="minorEastAsia"/>
          <w:b/>
          <w:color w:val="000000"/>
          <w:sz w:val="24"/>
          <w:szCs w:val="24"/>
          <w:highlight w:val="none"/>
        </w:rPr>
        <w:t>采购人、采购代理机构、供应商的回复，以书面的形式进行</w:t>
      </w:r>
      <w:r>
        <w:rPr>
          <w:rFonts w:asciiTheme="minorEastAsia" w:hAnsiTheme="minorEastAsia" w:eastAsiaTheme="minorEastAsia"/>
          <w:b/>
          <w:color w:val="000000"/>
          <w:sz w:val="24"/>
          <w:szCs w:val="24"/>
          <w:highlight w:val="none"/>
        </w:rPr>
        <w:t>。</w:t>
      </w:r>
    </w:p>
    <w:p>
      <w:pPr>
        <w:spacing w:line="400" w:lineRule="exact"/>
        <w:ind w:firstLine="480" w:firstLineChars="200"/>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3.7.6投标文件报价出现前后不一致的，按照以下原则进行价格修正：</w:t>
      </w:r>
    </w:p>
    <w:p>
      <w:pPr>
        <w:spacing w:line="400" w:lineRule="exact"/>
        <w:rPr>
          <w:rFonts w:asciiTheme="minorEastAsia" w:hAnsiTheme="minorEastAsia" w:eastAsiaTheme="minorEastAsia"/>
          <w:sz w:val="24"/>
          <w:szCs w:val="24"/>
          <w:highlight w:val="none"/>
        </w:rPr>
      </w:pPr>
      <w:r>
        <w:rPr>
          <w:rFonts w:asciiTheme="minorEastAsia" w:hAnsiTheme="minorEastAsia" w:eastAsiaTheme="minorEastAsia"/>
          <w:sz w:val="24"/>
          <w:szCs w:val="24"/>
          <w:highlight w:val="none"/>
        </w:rPr>
        <w:t>　</w:t>
      </w:r>
      <w:r>
        <w:rPr>
          <w:rFonts w:hint="eastAsia" w:asciiTheme="minorEastAsia" w:hAnsiTheme="minorEastAsia" w:eastAsiaTheme="minorEastAsia"/>
          <w:sz w:val="24"/>
          <w:szCs w:val="24"/>
          <w:highlight w:val="none"/>
        </w:rPr>
        <w:t xml:space="preserve">  (1)</w:t>
      </w:r>
      <w:r>
        <w:rPr>
          <w:rFonts w:asciiTheme="minorEastAsia" w:hAnsiTheme="minorEastAsia" w:eastAsiaTheme="minorEastAsia"/>
          <w:sz w:val="24"/>
          <w:szCs w:val="24"/>
          <w:highlight w:val="none"/>
        </w:rPr>
        <w:t>投标文件中开标一览表（报价表）内容与投标文件中相应内容不一致的，以开标一览表（报价表）为准；</w:t>
      </w:r>
    </w:p>
    <w:p>
      <w:pPr>
        <w:spacing w:line="400" w:lineRule="exact"/>
        <w:rPr>
          <w:rFonts w:asciiTheme="minorEastAsia" w:hAnsiTheme="minorEastAsia" w:eastAsiaTheme="minorEastAsia"/>
          <w:sz w:val="24"/>
          <w:szCs w:val="24"/>
          <w:highlight w:val="none"/>
        </w:rPr>
      </w:pPr>
      <w:r>
        <w:rPr>
          <w:rFonts w:asciiTheme="minorEastAsia" w:hAnsiTheme="minorEastAsia" w:eastAsiaTheme="minorEastAsia"/>
          <w:sz w:val="24"/>
          <w:szCs w:val="24"/>
          <w:highlight w:val="none"/>
        </w:rPr>
        <w:t>　　</w:t>
      </w:r>
      <w:r>
        <w:rPr>
          <w:rFonts w:hint="eastAsia" w:asciiTheme="minorEastAsia" w:hAnsiTheme="minorEastAsia" w:eastAsiaTheme="minorEastAsia"/>
          <w:sz w:val="24"/>
          <w:szCs w:val="24"/>
          <w:highlight w:val="none"/>
        </w:rPr>
        <w:t>(2)</w:t>
      </w:r>
      <w:r>
        <w:rPr>
          <w:rFonts w:asciiTheme="minorEastAsia" w:hAnsiTheme="minorEastAsia" w:eastAsiaTheme="minorEastAsia"/>
          <w:sz w:val="24"/>
          <w:szCs w:val="24"/>
          <w:highlight w:val="none"/>
        </w:rPr>
        <w:t>大写金额和小写金额不一致的，以大写金额为准；</w:t>
      </w:r>
    </w:p>
    <w:p>
      <w:pPr>
        <w:spacing w:line="400" w:lineRule="exact"/>
        <w:rPr>
          <w:rFonts w:asciiTheme="minorEastAsia" w:hAnsiTheme="minorEastAsia" w:eastAsiaTheme="minorEastAsia"/>
          <w:sz w:val="24"/>
          <w:szCs w:val="24"/>
          <w:highlight w:val="none"/>
        </w:rPr>
      </w:pPr>
      <w:r>
        <w:rPr>
          <w:rFonts w:asciiTheme="minorEastAsia" w:hAnsiTheme="minorEastAsia" w:eastAsiaTheme="minorEastAsia"/>
          <w:sz w:val="24"/>
          <w:szCs w:val="24"/>
          <w:highlight w:val="none"/>
        </w:rPr>
        <w:t>　　</w:t>
      </w:r>
      <w:r>
        <w:rPr>
          <w:rFonts w:hint="eastAsia" w:asciiTheme="minorEastAsia" w:hAnsiTheme="minorEastAsia" w:eastAsiaTheme="minorEastAsia"/>
          <w:sz w:val="24"/>
          <w:szCs w:val="24"/>
          <w:highlight w:val="none"/>
        </w:rPr>
        <w:t>(3)</w:t>
      </w:r>
      <w:r>
        <w:rPr>
          <w:rFonts w:asciiTheme="minorEastAsia" w:hAnsiTheme="minorEastAsia" w:eastAsiaTheme="minorEastAsia"/>
          <w:sz w:val="24"/>
          <w:szCs w:val="24"/>
          <w:highlight w:val="none"/>
        </w:rPr>
        <w:t>单价金额小数点或者百分比有明显错位的，以开标一览表（报价表）的总价为准，并修改单价；</w:t>
      </w:r>
    </w:p>
    <w:p>
      <w:pPr>
        <w:spacing w:line="400" w:lineRule="exact"/>
        <w:rPr>
          <w:rFonts w:asciiTheme="minorEastAsia" w:hAnsiTheme="minorEastAsia" w:eastAsiaTheme="minorEastAsia"/>
          <w:sz w:val="24"/>
          <w:szCs w:val="24"/>
          <w:highlight w:val="none"/>
        </w:rPr>
      </w:pPr>
      <w:r>
        <w:rPr>
          <w:rFonts w:asciiTheme="minorEastAsia" w:hAnsiTheme="minorEastAsia" w:eastAsiaTheme="minorEastAsia"/>
          <w:sz w:val="24"/>
          <w:szCs w:val="24"/>
          <w:highlight w:val="none"/>
        </w:rPr>
        <w:t>　　</w:t>
      </w:r>
      <w:r>
        <w:rPr>
          <w:rFonts w:hint="eastAsia" w:asciiTheme="minorEastAsia" w:hAnsiTheme="minorEastAsia" w:eastAsiaTheme="minorEastAsia"/>
          <w:sz w:val="24"/>
          <w:szCs w:val="24"/>
          <w:highlight w:val="none"/>
        </w:rPr>
        <w:t>(4)</w:t>
      </w:r>
      <w:r>
        <w:rPr>
          <w:rFonts w:asciiTheme="minorEastAsia" w:hAnsiTheme="minorEastAsia" w:eastAsiaTheme="minorEastAsia"/>
          <w:sz w:val="24"/>
          <w:szCs w:val="24"/>
          <w:highlight w:val="none"/>
        </w:rPr>
        <w:t>总价金额与按单价汇总金额不一致的，以单价金额计算结果为准。</w:t>
      </w:r>
    </w:p>
    <w:p>
      <w:pPr>
        <w:spacing w:line="400" w:lineRule="exact"/>
        <w:rPr>
          <w:rFonts w:asciiTheme="minorEastAsia" w:hAnsiTheme="minorEastAsia" w:eastAsiaTheme="minorEastAsia"/>
          <w:sz w:val="24"/>
          <w:szCs w:val="24"/>
          <w:highlight w:val="none"/>
        </w:rPr>
      </w:pPr>
      <w:r>
        <w:rPr>
          <w:rFonts w:asciiTheme="minorEastAsia" w:hAnsiTheme="minorEastAsia" w:eastAsiaTheme="minorEastAsia"/>
          <w:sz w:val="24"/>
          <w:szCs w:val="24"/>
          <w:highlight w:val="none"/>
        </w:rPr>
        <w:t>　　</w:t>
      </w:r>
      <w:r>
        <w:rPr>
          <w:rFonts w:hint="eastAsia" w:asciiTheme="minorEastAsia" w:hAnsiTheme="minorEastAsia" w:eastAsiaTheme="minorEastAsia"/>
          <w:sz w:val="24"/>
          <w:szCs w:val="24"/>
          <w:highlight w:val="none"/>
        </w:rPr>
        <w:t>同时出现两种以上不一致的，按照前款规定的顺序修正。修正后的报价经投标人确认后产生约束力，</w:t>
      </w:r>
      <w:r>
        <w:rPr>
          <w:rFonts w:hint="eastAsia" w:asciiTheme="minorEastAsia" w:hAnsiTheme="minorEastAsia" w:eastAsiaTheme="minorEastAsia"/>
          <w:b/>
          <w:sz w:val="24"/>
          <w:szCs w:val="24"/>
          <w:highlight w:val="none"/>
        </w:rPr>
        <w:t>投标人不确认的，其投标无效。供应商应在评标委员会发出澄清后60分钟内确认，超出时间不确认的其投标无效。</w:t>
      </w:r>
      <w:r>
        <w:rPr>
          <w:rFonts w:hint="eastAsia" w:asciiTheme="minorEastAsia" w:hAnsiTheme="minorEastAsia" w:eastAsiaTheme="minorEastAsia"/>
          <w:sz w:val="24"/>
          <w:szCs w:val="24"/>
          <w:highlight w:val="none"/>
        </w:rPr>
        <w:t>评标委员会可通过书面形式并经全体评标委员会成员签字后向投标人发出澄清，列明投标报价的修改内容，投标人通过纸质签字或盖章确认。</w:t>
      </w:r>
    </w:p>
    <w:p>
      <w:pPr>
        <w:spacing w:line="400" w:lineRule="exact"/>
        <w:ind w:firstLine="472" w:firstLineChars="196"/>
        <w:rPr>
          <w:rFonts w:asciiTheme="minorEastAsia" w:hAnsiTheme="minorEastAsia" w:eastAsiaTheme="minorEastAsia"/>
          <w:b/>
          <w:sz w:val="24"/>
          <w:szCs w:val="24"/>
          <w:highlight w:val="none"/>
        </w:rPr>
      </w:pPr>
      <w:r>
        <w:rPr>
          <w:rFonts w:hint="eastAsia" w:asciiTheme="minorEastAsia" w:hAnsiTheme="minorEastAsia" w:eastAsiaTheme="minorEastAsia"/>
          <w:b/>
          <w:sz w:val="24"/>
          <w:szCs w:val="24"/>
          <w:highlight w:val="none"/>
        </w:rPr>
        <w:t>出现该款规定情形，单价汇总金额比总价金额高，且超过政府采购预算或者本项目最高限价的，供应商投标文件应作为无效投标处理；单价汇总金额比总价金额高，但未超过政府采购预算或者本项目最高限价的，应以单价汇总金额作为价格评分依据。</w:t>
      </w:r>
    </w:p>
    <w:p>
      <w:pPr>
        <w:spacing w:line="400" w:lineRule="exact"/>
        <w:ind w:firstLine="472" w:firstLineChars="196"/>
        <w:rPr>
          <w:rFonts w:asciiTheme="minorEastAsia" w:hAnsiTheme="minorEastAsia" w:eastAsiaTheme="minorEastAsia"/>
          <w:b/>
          <w:sz w:val="24"/>
          <w:szCs w:val="24"/>
          <w:highlight w:val="none"/>
        </w:rPr>
      </w:pPr>
      <w:r>
        <w:rPr>
          <w:rFonts w:hint="eastAsia" w:asciiTheme="minorEastAsia" w:hAnsiTheme="minorEastAsia" w:eastAsiaTheme="minorEastAsia"/>
          <w:b/>
          <w:sz w:val="24"/>
          <w:szCs w:val="24"/>
          <w:highlight w:val="none"/>
        </w:rPr>
        <w:t>评标委员会当积极履行澄清、说明或者更正的职责，不得滥用权力。供应商的投标文件可以要求澄清、说明或者更正的，不得未经澄清、说明或者更正而直接作无效投标处理。</w:t>
      </w:r>
    </w:p>
    <w:p>
      <w:pPr>
        <w:spacing w:line="400" w:lineRule="exact"/>
        <w:ind w:firstLine="482" w:firstLineChars="200"/>
        <w:rPr>
          <w:rFonts w:asciiTheme="minorEastAsia" w:hAnsiTheme="minorEastAsia" w:eastAsiaTheme="minorEastAsia"/>
          <w:sz w:val="24"/>
          <w:szCs w:val="24"/>
          <w:highlight w:val="none"/>
        </w:rPr>
      </w:pPr>
      <w:r>
        <w:rPr>
          <w:rFonts w:hint="eastAsia" w:asciiTheme="minorEastAsia" w:hAnsiTheme="minorEastAsia" w:eastAsiaTheme="minorEastAsia"/>
          <w:b/>
          <w:sz w:val="24"/>
          <w:szCs w:val="24"/>
          <w:highlight w:val="none"/>
        </w:rPr>
        <w:t>4. 评标细则及标准</w:t>
      </w:r>
      <w:bookmarkEnd w:id="50"/>
    </w:p>
    <w:p>
      <w:pPr>
        <w:spacing w:line="400" w:lineRule="exact"/>
        <w:ind w:firstLine="480" w:firstLineChars="200"/>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4.1本项目综合评分采用百分制，总分100分。</w:t>
      </w:r>
      <w:r>
        <w:rPr>
          <w:rFonts w:hint="eastAsia" w:asciiTheme="minorEastAsia" w:hAnsiTheme="minorEastAsia" w:eastAsiaTheme="minorEastAsia"/>
          <w:bCs/>
          <w:sz w:val="24"/>
          <w:szCs w:val="24"/>
          <w:highlight w:val="none"/>
        </w:rPr>
        <w:t>评分过程中采用四舍五入法，并保留小数点后2位。</w:t>
      </w:r>
      <w:r>
        <w:rPr>
          <w:rFonts w:hint="eastAsia" w:asciiTheme="minorEastAsia" w:hAnsiTheme="minorEastAsia" w:eastAsiaTheme="minorEastAsia"/>
          <w:sz w:val="24"/>
          <w:szCs w:val="24"/>
          <w:highlight w:val="none"/>
        </w:rPr>
        <w:t>投标人</w:t>
      </w:r>
      <w:r>
        <w:rPr>
          <w:rFonts w:hint="eastAsia" w:asciiTheme="minorEastAsia" w:hAnsiTheme="minorEastAsia" w:eastAsiaTheme="minorEastAsia"/>
          <w:bCs/>
          <w:sz w:val="24"/>
          <w:szCs w:val="24"/>
          <w:highlight w:val="none"/>
        </w:rPr>
        <w:t>综合得分</w:t>
      </w:r>
      <w:r>
        <w:rPr>
          <w:rFonts w:hint="eastAsia" w:asciiTheme="minorEastAsia" w:hAnsiTheme="minorEastAsia" w:eastAsiaTheme="minorEastAsia"/>
          <w:sz w:val="24"/>
          <w:szCs w:val="24"/>
          <w:highlight w:val="none"/>
        </w:rPr>
        <w:t>为评标委员会各成员评标后得分之和的平均分</w:t>
      </w:r>
      <w:r>
        <w:rPr>
          <w:rFonts w:hint="eastAsia" w:asciiTheme="minorEastAsia" w:hAnsiTheme="minorEastAsia" w:eastAsiaTheme="minorEastAsia"/>
          <w:bCs/>
          <w:sz w:val="24"/>
          <w:szCs w:val="24"/>
          <w:highlight w:val="none"/>
        </w:rPr>
        <w:t>。</w:t>
      </w:r>
    </w:p>
    <w:p>
      <w:pPr>
        <w:spacing w:line="400" w:lineRule="exact"/>
        <w:ind w:firstLine="480" w:firstLineChars="200"/>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4.2 评标委员会成员应当根据自身专业情况对每个有效投标供应商的投标文件进行独立评分，加权汇总每项评分因素的得分，得出每个有效投标供应商的总分。评分因素进行了分类的，技术类评分因素由技术方面评标委员会成员独立评分，经济类评分因素由经济方面评标委员会成员独立评分，政策合同类的评分因素由法律方面评标委员会成员独立评分，采购人代表原则上对技术类评分因素独立评分，价格和其他不能明确区分的评分因素由评标委员会成员共同评分。评分因素没有进行分类的，评审委员会成员应对所有评审因素进行独立评审。</w:t>
      </w:r>
    </w:p>
    <w:p>
      <w:pPr>
        <w:spacing w:line="400" w:lineRule="exact"/>
        <w:ind w:firstLine="480" w:firstLineChars="200"/>
        <w:rPr>
          <w:rFonts w:asciiTheme="minorEastAsia" w:hAnsiTheme="minorEastAsia" w:eastAsiaTheme="minorEastAsia"/>
          <w:sz w:val="24"/>
          <w:szCs w:val="24"/>
          <w:highlight w:val="none"/>
          <w:u w:val="single"/>
        </w:rPr>
      </w:pPr>
      <w:r>
        <w:rPr>
          <w:rFonts w:hint="eastAsia" w:asciiTheme="minorEastAsia" w:hAnsiTheme="minorEastAsia" w:eastAsiaTheme="minorEastAsia"/>
          <w:sz w:val="24"/>
          <w:szCs w:val="24"/>
          <w:highlight w:val="none"/>
        </w:rPr>
        <w:t>4.3综合评分明细表</w:t>
      </w:r>
    </w:p>
    <w:tbl>
      <w:tblPr>
        <w:tblStyle w:val="1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24"/>
        <w:gridCol w:w="1655"/>
        <w:gridCol w:w="624"/>
        <w:gridCol w:w="56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366" w:type="pct"/>
            <w:noWrap w:val="0"/>
            <w:vAlign w:val="center"/>
          </w:tcPr>
          <w:p>
            <w:pPr>
              <w:widowControl/>
              <w:jc w:val="center"/>
              <w:rPr>
                <w:rFonts w:hint="eastAsia" w:ascii="宋体" w:cs="宋体"/>
                <w:b/>
                <w:bCs/>
                <w:color w:val="000000"/>
                <w:kern w:val="0"/>
                <w:sz w:val="24"/>
                <w:szCs w:val="24"/>
                <w:lang w:bidi="ar-SA"/>
              </w:rPr>
            </w:pPr>
            <w:bookmarkStart w:id="52" w:name="_Toc217446060"/>
            <w:r>
              <w:rPr>
                <w:rFonts w:hint="eastAsia" w:ascii="宋体" w:cs="宋体"/>
                <w:b/>
                <w:bCs/>
                <w:color w:val="000000"/>
                <w:kern w:val="0"/>
                <w:sz w:val="24"/>
                <w:szCs w:val="24"/>
                <w:lang w:bidi="ar-SA"/>
              </w:rPr>
              <w:t>序号</w:t>
            </w:r>
          </w:p>
        </w:tc>
        <w:tc>
          <w:tcPr>
            <w:tcW w:w="971" w:type="pct"/>
            <w:noWrap w:val="0"/>
            <w:vAlign w:val="center"/>
          </w:tcPr>
          <w:p>
            <w:pPr>
              <w:widowControl/>
              <w:jc w:val="center"/>
              <w:rPr>
                <w:rFonts w:hint="eastAsia" w:ascii="宋体" w:cs="宋体"/>
                <w:b/>
                <w:bCs/>
                <w:color w:val="000000"/>
                <w:kern w:val="0"/>
                <w:sz w:val="24"/>
                <w:szCs w:val="24"/>
                <w:lang w:bidi="ar-SA"/>
              </w:rPr>
            </w:pPr>
            <w:r>
              <w:rPr>
                <w:rFonts w:hint="eastAsia" w:ascii="宋体" w:cs="宋体"/>
                <w:b/>
                <w:bCs/>
                <w:color w:val="000000"/>
                <w:kern w:val="0"/>
                <w:sz w:val="24"/>
                <w:szCs w:val="24"/>
                <w:lang w:bidi="ar-SA"/>
              </w:rPr>
              <w:t>评分因素及权重</w:t>
            </w:r>
          </w:p>
        </w:tc>
        <w:tc>
          <w:tcPr>
            <w:tcW w:w="366" w:type="pct"/>
            <w:noWrap w:val="0"/>
            <w:vAlign w:val="center"/>
          </w:tcPr>
          <w:p>
            <w:pPr>
              <w:widowControl/>
              <w:jc w:val="center"/>
              <w:rPr>
                <w:rFonts w:hint="eastAsia" w:ascii="宋体" w:cs="宋体"/>
                <w:b/>
                <w:bCs/>
                <w:color w:val="000000"/>
                <w:kern w:val="0"/>
                <w:sz w:val="24"/>
                <w:szCs w:val="24"/>
                <w:lang w:bidi="ar-SA"/>
              </w:rPr>
            </w:pPr>
            <w:r>
              <w:rPr>
                <w:rFonts w:hint="eastAsia" w:ascii="宋体" w:cs="宋体"/>
                <w:b/>
                <w:bCs/>
                <w:color w:val="000000"/>
                <w:kern w:val="0"/>
                <w:sz w:val="24"/>
                <w:szCs w:val="24"/>
                <w:lang w:bidi="ar-SA"/>
              </w:rPr>
              <w:t>分值</w:t>
            </w:r>
          </w:p>
        </w:tc>
        <w:tc>
          <w:tcPr>
            <w:tcW w:w="3296" w:type="pct"/>
            <w:noWrap w:val="0"/>
            <w:vAlign w:val="center"/>
          </w:tcPr>
          <w:p>
            <w:pPr>
              <w:widowControl/>
              <w:jc w:val="center"/>
              <w:rPr>
                <w:rFonts w:hint="eastAsia" w:ascii="宋体" w:cs="宋体"/>
                <w:b/>
                <w:bCs/>
                <w:color w:val="000000"/>
                <w:kern w:val="0"/>
                <w:sz w:val="24"/>
                <w:szCs w:val="24"/>
                <w:lang w:bidi="ar-SA"/>
              </w:rPr>
            </w:pPr>
            <w:r>
              <w:rPr>
                <w:rFonts w:hint="eastAsia" w:ascii="宋体" w:cs="宋体"/>
                <w:b/>
                <w:bCs/>
                <w:color w:val="000000"/>
                <w:kern w:val="0"/>
                <w:sz w:val="24"/>
                <w:szCs w:val="24"/>
                <w:lang w:bidi="ar-SA"/>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0" w:hRule="atLeast"/>
        </w:trPr>
        <w:tc>
          <w:tcPr>
            <w:tcW w:w="366" w:type="pct"/>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1</w:t>
            </w:r>
          </w:p>
        </w:tc>
        <w:tc>
          <w:tcPr>
            <w:tcW w:w="971" w:type="pct"/>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报价10%</w:t>
            </w:r>
          </w:p>
        </w:tc>
        <w:tc>
          <w:tcPr>
            <w:tcW w:w="366" w:type="pct"/>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10</w:t>
            </w:r>
          </w:p>
        </w:tc>
        <w:tc>
          <w:tcPr>
            <w:tcW w:w="3296" w:type="pct"/>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满足招标文件要求且投标价格最低的投标报价为评标基准价，其价格分为满分。其他投标人的价格分统一按照下列公式计算：投标报价得分=(评标基准价／投标报价)×10%×100。注：1、小微企业（监狱企业、残疾人福利性单位视同小微企业）价格扣除、报价加成等按照招标文件须知附表规定执行。</w:t>
            </w:r>
            <w:r>
              <w:rPr>
                <w:rFonts w:hint="eastAsia" w:ascii="宋体" w:cs="宋体"/>
                <w:color w:val="000000"/>
                <w:kern w:val="0"/>
                <w:sz w:val="24"/>
                <w:szCs w:val="24"/>
                <w:lang w:bidi="ar-SA"/>
              </w:rPr>
              <w:br w:type="textWrapping"/>
            </w:r>
            <w:r>
              <w:rPr>
                <w:rFonts w:hint="eastAsia" w:ascii="宋体" w:cs="宋体"/>
                <w:color w:val="000000"/>
                <w:kern w:val="0"/>
                <w:sz w:val="24"/>
                <w:szCs w:val="24"/>
                <w:lang w:bidi="ar-SA"/>
              </w:rPr>
              <w:t>2、在评审过程中，评审委员会发现投标人的报价明显低于其他投标报价或者在设有标底时明显低于标底，使得其投标报价可能低于其个别成本的，应当要求该投标人做出书面说明并提供相关证明材料。投标人不能合理说明或者不能提供相关证明材料的，由评审委员会认定该投标人以低于成本报价竞标，其投标应作无效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6" w:hRule="atLeast"/>
        </w:trPr>
        <w:tc>
          <w:tcPr>
            <w:tcW w:w="366" w:type="pct"/>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2</w:t>
            </w:r>
          </w:p>
        </w:tc>
        <w:tc>
          <w:tcPr>
            <w:tcW w:w="971" w:type="pct"/>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投标人实力1</w:t>
            </w:r>
            <w:r>
              <w:rPr>
                <w:rFonts w:hint="eastAsia" w:ascii="宋体" w:cs="宋体"/>
                <w:color w:val="000000"/>
                <w:kern w:val="0"/>
                <w:sz w:val="24"/>
                <w:szCs w:val="24"/>
                <w:lang w:val="en-US" w:eastAsia="zh-CN" w:bidi="ar-SA"/>
              </w:rPr>
              <w:t>5</w:t>
            </w:r>
            <w:r>
              <w:rPr>
                <w:rFonts w:hint="eastAsia" w:ascii="宋体" w:cs="宋体"/>
                <w:color w:val="000000"/>
                <w:kern w:val="0"/>
                <w:sz w:val="24"/>
                <w:szCs w:val="24"/>
                <w:lang w:bidi="ar-SA"/>
              </w:rPr>
              <w:t>%</w:t>
            </w:r>
          </w:p>
        </w:tc>
        <w:tc>
          <w:tcPr>
            <w:tcW w:w="366" w:type="pct"/>
            <w:noWrap w:val="0"/>
            <w:vAlign w:val="center"/>
          </w:tcPr>
          <w:p>
            <w:pPr>
              <w:widowControl/>
              <w:jc w:val="center"/>
              <w:rPr>
                <w:rFonts w:hint="eastAsia" w:ascii="宋体" w:eastAsia="宋体" w:cs="宋体"/>
                <w:color w:val="000000"/>
                <w:kern w:val="0"/>
                <w:sz w:val="24"/>
                <w:szCs w:val="24"/>
                <w:lang w:val="en-US" w:eastAsia="zh-CN" w:bidi="ar-SA"/>
              </w:rPr>
            </w:pPr>
            <w:r>
              <w:rPr>
                <w:rFonts w:hint="eastAsia" w:ascii="宋体" w:cs="宋体"/>
                <w:color w:val="000000"/>
                <w:kern w:val="0"/>
                <w:sz w:val="24"/>
                <w:szCs w:val="24"/>
                <w:lang w:bidi="ar-SA"/>
              </w:rPr>
              <w:t>1</w:t>
            </w:r>
            <w:r>
              <w:rPr>
                <w:rFonts w:hint="eastAsia" w:ascii="宋体" w:cs="宋体"/>
                <w:color w:val="000000"/>
                <w:kern w:val="0"/>
                <w:sz w:val="24"/>
                <w:szCs w:val="24"/>
                <w:lang w:val="en-US" w:eastAsia="zh-CN" w:bidi="ar-SA"/>
              </w:rPr>
              <w:t>5</w:t>
            </w:r>
          </w:p>
        </w:tc>
        <w:tc>
          <w:tcPr>
            <w:tcW w:w="3296" w:type="pct"/>
            <w:noWrap w:val="0"/>
            <w:vAlign w:val="center"/>
          </w:tcPr>
          <w:p>
            <w:pPr>
              <w:widowControl/>
              <w:numPr>
                <w:ilvl w:val="0"/>
                <w:numId w:val="10"/>
              </w:numPr>
              <w:ind w:left="210" w:leftChars="0" w:firstLineChars="0"/>
              <w:jc w:val="left"/>
              <w:rPr>
                <w:rFonts w:hint="eastAsia" w:ascii="宋体" w:cs="宋体"/>
                <w:color w:val="000000"/>
                <w:kern w:val="0"/>
                <w:sz w:val="24"/>
                <w:szCs w:val="24"/>
                <w:lang w:bidi="ar-SA"/>
              </w:rPr>
            </w:pPr>
            <w:r>
              <w:rPr>
                <w:rFonts w:hint="eastAsia" w:ascii="宋体" w:cs="宋体"/>
                <w:color w:val="000000"/>
                <w:kern w:val="0"/>
                <w:sz w:val="24"/>
                <w:szCs w:val="24"/>
                <w:lang w:bidi="ar-SA"/>
              </w:rPr>
              <w:t>投标人具有信息系统建设和服务能力等级证书CS4级</w:t>
            </w:r>
            <w:r>
              <w:rPr>
                <w:rFonts w:hint="eastAsia" w:ascii="宋体" w:cs="宋体"/>
                <w:color w:val="000000"/>
                <w:kern w:val="0"/>
                <w:sz w:val="24"/>
                <w:szCs w:val="24"/>
                <w:lang w:val="en-US" w:eastAsia="zh-CN" w:bidi="ar-SA"/>
              </w:rPr>
              <w:t>得3分，</w:t>
            </w:r>
            <w:r>
              <w:rPr>
                <w:rFonts w:hint="eastAsia" w:ascii="宋体" w:cs="宋体"/>
                <w:color w:val="000000"/>
                <w:kern w:val="0"/>
                <w:sz w:val="24"/>
                <w:szCs w:val="24"/>
                <w:lang w:bidi="ar-SA"/>
              </w:rPr>
              <w:t>提供证书未达到相应等级得1分，未提供不得分；</w:t>
            </w:r>
            <w:r>
              <w:rPr>
                <w:rFonts w:hint="eastAsia" w:ascii="宋体" w:cs="宋体"/>
                <w:color w:val="000000"/>
                <w:kern w:val="0"/>
                <w:sz w:val="24"/>
                <w:szCs w:val="24"/>
                <w:lang w:bidi="ar-SA"/>
              </w:rPr>
              <w:br w:type="textWrapping"/>
            </w:r>
            <w:r>
              <w:rPr>
                <w:rFonts w:hint="eastAsia" w:ascii="宋体" w:cs="宋体"/>
                <w:color w:val="000000"/>
                <w:kern w:val="0"/>
                <w:sz w:val="24"/>
                <w:szCs w:val="24"/>
                <w:lang w:val="en-US" w:eastAsia="zh-CN" w:bidi="ar-SA"/>
              </w:rPr>
              <w:t>2</w:t>
            </w:r>
            <w:r>
              <w:rPr>
                <w:rFonts w:hint="eastAsia" w:ascii="宋体" w:cs="宋体"/>
                <w:color w:val="000000"/>
                <w:kern w:val="0"/>
                <w:sz w:val="24"/>
                <w:szCs w:val="24"/>
                <w:lang w:bidi="ar-SA"/>
              </w:rPr>
              <w:t>、投标人具有ITSS信息技术服务</w:t>
            </w:r>
            <w:r>
              <w:rPr>
                <w:rFonts w:hint="eastAsia" w:ascii="宋体" w:cs="宋体"/>
                <w:color w:val="000000"/>
                <w:kern w:val="0"/>
                <w:sz w:val="24"/>
                <w:szCs w:val="24"/>
                <w:lang w:val="en-US" w:eastAsia="zh-Hans" w:bidi="ar-SA"/>
              </w:rPr>
              <w:t>能力成熟度</w:t>
            </w:r>
            <w:r>
              <w:rPr>
                <w:rFonts w:hint="eastAsia" w:ascii="宋体" w:cs="宋体"/>
                <w:color w:val="000000"/>
                <w:kern w:val="0"/>
                <w:sz w:val="24"/>
                <w:szCs w:val="24"/>
                <w:lang w:bidi="ar-SA"/>
              </w:rPr>
              <w:t>证书</w:t>
            </w:r>
            <w:r>
              <w:rPr>
                <w:rFonts w:hint="eastAsia" w:ascii="宋体" w:cs="宋体"/>
                <w:color w:val="000000"/>
                <w:kern w:val="0"/>
                <w:sz w:val="24"/>
                <w:szCs w:val="24"/>
                <w:lang w:val="en-US" w:eastAsia="zh-CN" w:bidi="ar-SA"/>
              </w:rPr>
              <w:t>二</w:t>
            </w:r>
            <w:r>
              <w:rPr>
                <w:rFonts w:hint="eastAsia" w:ascii="宋体" w:cs="宋体"/>
                <w:color w:val="000000"/>
                <w:kern w:val="0"/>
                <w:sz w:val="24"/>
                <w:szCs w:val="24"/>
                <w:lang w:val="en-US" w:eastAsia="zh-Hans" w:bidi="ar-SA"/>
              </w:rPr>
              <w:t>级的</w:t>
            </w:r>
            <w:r>
              <w:rPr>
                <w:rFonts w:hint="eastAsia" w:ascii="宋体" w:cs="宋体"/>
                <w:color w:val="000000"/>
                <w:kern w:val="0"/>
                <w:sz w:val="24"/>
                <w:szCs w:val="24"/>
                <w:lang w:bidi="ar-SA"/>
              </w:rPr>
              <w:t>得</w:t>
            </w:r>
            <w:r>
              <w:rPr>
                <w:rFonts w:hint="eastAsia" w:ascii="宋体" w:cs="宋体"/>
                <w:color w:val="000000"/>
                <w:kern w:val="0"/>
                <w:sz w:val="24"/>
                <w:szCs w:val="24"/>
                <w:lang w:val="en-US" w:eastAsia="zh-CN" w:bidi="ar-SA"/>
              </w:rPr>
              <w:t>3</w:t>
            </w:r>
            <w:r>
              <w:rPr>
                <w:rFonts w:hint="eastAsia" w:ascii="宋体" w:cs="宋体"/>
                <w:color w:val="000000"/>
                <w:kern w:val="0"/>
                <w:sz w:val="24"/>
                <w:szCs w:val="24"/>
                <w:lang w:bidi="ar-SA"/>
              </w:rPr>
              <w:t>分，提供证书未达到相应等级得1分，未提供不得分；</w:t>
            </w:r>
            <w:r>
              <w:rPr>
                <w:rFonts w:hint="eastAsia" w:ascii="宋体" w:cs="宋体"/>
                <w:color w:val="000000"/>
                <w:kern w:val="0"/>
                <w:sz w:val="24"/>
                <w:szCs w:val="24"/>
                <w:lang w:bidi="ar-SA"/>
              </w:rPr>
              <w:br w:type="textWrapping"/>
            </w:r>
            <w:r>
              <w:rPr>
                <w:rFonts w:hint="eastAsia" w:ascii="宋体" w:cs="宋体"/>
                <w:color w:val="000000"/>
                <w:kern w:val="0"/>
                <w:sz w:val="24"/>
                <w:szCs w:val="24"/>
                <w:lang w:val="en-US" w:eastAsia="zh-CN" w:bidi="ar-SA"/>
              </w:rPr>
              <w:t>3</w:t>
            </w:r>
            <w:r>
              <w:rPr>
                <w:rFonts w:hint="eastAsia" w:ascii="宋体" w:cs="宋体"/>
                <w:color w:val="000000"/>
                <w:kern w:val="0"/>
                <w:sz w:val="24"/>
                <w:szCs w:val="24"/>
                <w:lang w:bidi="ar-SA"/>
              </w:rPr>
              <w:t>、</w:t>
            </w:r>
            <w:r>
              <w:rPr>
                <w:rFonts w:hint="eastAsia" w:ascii="宋体" w:cs="宋体"/>
                <w:color w:val="000000"/>
                <w:kern w:val="0"/>
                <w:sz w:val="24"/>
                <w:szCs w:val="24"/>
                <w:lang w:val="en-US" w:eastAsia="zh-CN" w:bidi="ar-SA"/>
              </w:rPr>
              <w:t>投标人具有电子与智能化工程专业承包二级及以上资质得3分，</w:t>
            </w:r>
            <w:r>
              <w:rPr>
                <w:rFonts w:hint="eastAsia" w:ascii="宋体" w:cs="宋体"/>
                <w:color w:val="000000"/>
                <w:kern w:val="0"/>
                <w:sz w:val="24"/>
                <w:szCs w:val="24"/>
                <w:lang w:bidi="ar-SA"/>
              </w:rPr>
              <w:t>提供证书未达到相应等级得</w:t>
            </w:r>
            <w:r>
              <w:rPr>
                <w:rFonts w:hint="eastAsia" w:ascii="宋体" w:cs="宋体"/>
                <w:color w:val="000000"/>
                <w:kern w:val="0"/>
                <w:sz w:val="24"/>
                <w:szCs w:val="24"/>
                <w:lang w:val="en-US" w:eastAsia="zh-CN" w:bidi="ar-SA"/>
              </w:rPr>
              <w:t>1</w:t>
            </w:r>
            <w:r>
              <w:rPr>
                <w:rFonts w:hint="eastAsia" w:ascii="宋体" w:cs="宋体"/>
                <w:color w:val="000000"/>
                <w:kern w:val="0"/>
                <w:sz w:val="24"/>
                <w:szCs w:val="24"/>
                <w:lang w:bidi="ar-SA"/>
              </w:rPr>
              <w:t>分</w:t>
            </w:r>
            <w:r>
              <w:rPr>
                <w:rFonts w:hint="eastAsia" w:ascii="宋体" w:cs="宋体"/>
                <w:color w:val="000000"/>
                <w:kern w:val="0"/>
                <w:sz w:val="24"/>
                <w:szCs w:val="24"/>
                <w:lang w:eastAsia="zh-CN" w:bidi="ar-SA"/>
              </w:rPr>
              <w:t>，</w:t>
            </w:r>
            <w:r>
              <w:rPr>
                <w:rFonts w:hint="eastAsia" w:ascii="宋体" w:cs="宋体"/>
                <w:color w:val="000000"/>
                <w:kern w:val="0"/>
                <w:sz w:val="24"/>
                <w:szCs w:val="24"/>
                <w:lang w:bidi="ar-SA"/>
              </w:rPr>
              <w:t>未提供不得分</w:t>
            </w:r>
            <w:r>
              <w:rPr>
                <w:rFonts w:hint="eastAsia" w:ascii="宋体" w:cs="宋体"/>
                <w:color w:val="000000"/>
                <w:kern w:val="0"/>
                <w:sz w:val="24"/>
                <w:szCs w:val="24"/>
                <w:lang w:eastAsia="zh-CN" w:bidi="ar-SA"/>
              </w:rPr>
              <w:t>；</w:t>
            </w:r>
          </w:p>
          <w:p>
            <w:pPr>
              <w:widowControl/>
              <w:numPr>
                <w:ilvl w:val="0"/>
                <w:numId w:val="0"/>
              </w:numPr>
              <w:tabs>
                <w:tab w:val="left" w:pos="0"/>
              </w:tabs>
              <w:ind w:left="210" w:leftChars="0"/>
              <w:jc w:val="left"/>
              <w:rPr>
                <w:rFonts w:hint="eastAsia" w:ascii="宋体" w:cs="宋体"/>
                <w:color w:val="000000"/>
                <w:kern w:val="0"/>
                <w:sz w:val="24"/>
                <w:szCs w:val="24"/>
                <w:lang w:bidi="ar-SA"/>
              </w:rPr>
            </w:pPr>
            <w:r>
              <w:rPr>
                <w:rFonts w:hint="eastAsia" w:ascii="宋体" w:cs="宋体"/>
                <w:color w:val="000000"/>
                <w:kern w:val="0"/>
                <w:sz w:val="24"/>
                <w:szCs w:val="24"/>
                <w:lang w:val="en-US" w:eastAsia="zh-CN" w:bidi="ar-SA"/>
              </w:rPr>
              <w:t>4</w:t>
            </w:r>
            <w:r>
              <w:rPr>
                <w:rFonts w:hint="eastAsia" w:ascii="宋体" w:cs="宋体"/>
                <w:color w:val="000000"/>
                <w:kern w:val="0"/>
                <w:sz w:val="24"/>
                <w:szCs w:val="24"/>
                <w:lang w:bidi="ar-SA"/>
              </w:rPr>
              <w:t>、</w:t>
            </w:r>
            <w:r>
              <w:rPr>
                <w:rFonts w:hint="eastAsia" w:ascii="宋体" w:cs="宋体"/>
                <w:color w:val="000000"/>
                <w:kern w:val="0"/>
                <w:sz w:val="24"/>
                <w:szCs w:val="24"/>
                <w:lang w:val="en-US" w:eastAsia="zh-CN" w:bidi="ar-SA"/>
              </w:rPr>
              <w:t>投标人具有信息安全服务资质得2分，</w:t>
            </w:r>
            <w:r>
              <w:rPr>
                <w:rFonts w:hint="eastAsia" w:ascii="宋体" w:cs="宋体"/>
                <w:color w:val="000000"/>
                <w:kern w:val="0"/>
                <w:sz w:val="24"/>
                <w:szCs w:val="24"/>
                <w:lang w:bidi="ar-SA"/>
              </w:rPr>
              <w:t>未提供不得分；</w:t>
            </w:r>
          </w:p>
          <w:p>
            <w:pPr>
              <w:widowControl/>
              <w:numPr>
                <w:ilvl w:val="0"/>
                <w:numId w:val="11"/>
              </w:numPr>
              <w:tabs>
                <w:tab w:val="left" w:pos="0"/>
              </w:tabs>
              <w:ind w:left="210" w:leftChars="0"/>
              <w:jc w:val="left"/>
              <w:rPr>
                <w:rFonts w:hint="eastAsia" w:ascii="宋体" w:cs="宋体"/>
                <w:color w:val="000000"/>
                <w:kern w:val="0"/>
                <w:sz w:val="24"/>
                <w:szCs w:val="24"/>
                <w:lang w:bidi="ar-SA"/>
              </w:rPr>
            </w:pPr>
            <w:r>
              <w:rPr>
                <w:rFonts w:hint="eastAsia" w:ascii="宋体" w:cs="宋体"/>
                <w:color w:val="000000"/>
                <w:kern w:val="0"/>
                <w:sz w:val="24"/>
                <w:szCs w:val="24"/>
                <w:lang w:bidi="ar-SA"/>
              </w:rPr>
              <w:t>投标人具有职业健康安全管理体系认证得</w:t>
            </w:r>
            <w:r>
              <w:rPr>
                <w:rFonts w:hint="eastAsia" w:ascii="宋体" w:cs="宋体"/>
                <w:color w:val="000000"/>
                <w:kern w:val="0"/>
                <w:sz w:val="24"/>
                <w:szCs w:val="24"/>
                <w:lang w:val="en-US" w:eastAsia="zh-CN" w:bidi="ar-SA"/>
              </w:rPr>
              <w:t>2</w:t>
            </w:r>
            <w:r>
              <w:rPr>
                <w:rFonts w:hint="eastAsia" w:ascii="宋体" w:cs="宋体"/>
                <w:color w:val="000000"/>
                <w:kern w:val="0"/>
                <w:sz w:val="24"/>
                <w:szCs w:val="24"/>
                <w:lang w:bidi="ar-SA"/>
              </w:rPr>
              <w:t>分，未提供不得分；</w:t>
            </w:r>
          </w:p>
          <w:p>
            <w:pPr>
              <w:widowControl/>
              <w:numPr>
                <w:ilvl w:val="0"/>
                <w:numId w:val="0"/>
              </w:numPr>
              <w:tabs>
                <w:tab w:val="left" w:pos="0"/>
              </w:tabs>
              <w:ind w:left="210" w:leftChars="0"/>
              <w:jc w:val="left"/>
              <w:rPr>
                <w:rFonts w:hint="eastAsia" w:ascii="宋体" w:cs="宋体"/>
                <w:color w:val="000000"/>
                <w:kern w:val="0"/>
                <w:sz w:val="24"/>
                <w:szCs w:val="24"/>
                <w:lang w:bidi="ar-SA"/>
              </w:rPr>
            </w:pPr>
            <w:r>
              <w:rPr>
                <w:rFonts w:hint="eastAsia" w:ascii="宋体" w:cs="宋体"/>
                <w:color w:val="000000"/>
                <w:kern w:val="0"/>
                <w:sz w:val="24"/>
                <w:szCs w:val="24"/>
                <w:lang w:val="en-US" w:eastAsia="zh-CN" w:bidi="ar-SA"/>
              </w:rPr>
              <w:t>6、</w:t>
            </w:r>
            <w:r>
              <w:rPr>
                <w:rFonts w:hint="eastAsia" w:ascii="宋体" w:cs="宋体"/>
                <w:color w:val="000000"/>
                <w:kern w:val="0"/>
                <w:sz w:val="24"/>
                <w:szCs w:val="24"/>
                <w:lang w:bidi="ar-SA"/>
              </w:rPr>
              <w:t>投标人具有环境管理体系认证得</w:t>
            </w:r>
            <w:r>
              <w:rPr>
                <w:rFonts w:hint="eastAsia" w:ascii="宋体" w:cs="宋体"/>
                <w:color w:val="000000"/>
                <w:kern w:val="0"/>
                <w:sz w:val="24"/>
                <w:szCs w:val="24"/>
                <w:lang w:val="en-US" w:eastAsia="zh-CN" w:bidi="ar-SA"/>
              </w:rPr>
              <w:t>2</w:t>
            </w:r>
            <w:r>
              <w:rPr>
                <w:rFonts w:hint="eastAsia" w:ascii="宋体" w:cs="宋体"/>
                <w:color w:val="000000"/>
                <w:kern w:val="0"/>
                <w:sz w:val="24"/>
                <w:szCs w:val="24"/>
                <w:lang w:bidi="ar-SA"/>
              </w:rPr>
              <w:t>分，未提供不得分；</w:t>
            </w:r>
          </w:p>
          <w:p>
            <w:pPr>
              <w:widowControl/>
              <w:numPr>
                <w:ilvl w:val="0"/>
                <w:numId w:val="0"/>
              </w:numPr>
              <w:tabs>
                <w:tab w:val="left" w:pos="0"/>
              </w:tabs>
              <w:jc w:val="left"/>
              <w:rPr>
                <w:rFonts w:hint="eastAsia" w:ascii="宋体" w:cs="宋体"/>
                <w:color w:val="000000"/>
                <w:kern w:val="0"/>
                <w:sz w:val="24"/>
                <w:szCs w:val="24"/>
                <w:lang w:bidi="ar-SA"/>
              </w:rPr>
            </w:pPr>
            <w:r>
              <w:rPr>
                <w:rFonts w:hint="eastAsia" w:ascii="宋体" w:cs="宋体"/>
                <w:color w:val="000000"/>
                <w:kern w:val="0"/>
                <w:sz w:val="24"/>
                <w:szCs w:val="24"/>
                <w:lang w:val="en-US" w:eastAsia="zh-CN" w:bidi="ar-SA"/>
              </w:rPr>
              <w:t>注</w:t>
            </w:r>
            <w:r>
              <w:rPr>
                <w:rFonts w:hint="eastAsia" w:ascii="宋体" w:cs="宋体"/>
                <w:color w:val="000000"/>
                <w:kern w:val="0"/>
                <w:sz w:val="24"/>
                <w:szCs w:val="24"/>
                <w:lang w:bidi="ar-SA"/>
              </w:rPr>
              <w:t>：提供以上资质证书复印件并加盖投标人公章，未提供的不得分。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366" w:type="pct"/>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3</w:t>
            </w:r>
          </w:p>
        </w:tc>
        <w:tc>
          <w:tcPr>
            <w:tcW w:w="971" w:type="pct"/>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业绩3%</w:t>
            </w:r>
          </w:p>
        </w:tc>
        <w:tc>
          <w:tcPr>
            <w:tcW w:w="366" w:type="pct"/>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3</w:t>
            </w:r>
          </w:p>
        </w:tc>
        <w:tc>
          <w:tcPr>
            <w:tcW w:w="3296" w:type="pct"/>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投标人每提供1个2019年1月1日至今的类似本项目业绩案例的得1分，最多得3分，未提供不得分。</w:t>
            </w:r>
            <w:r>
              <w:rPr>
                <w:rFonts w:hint="eastAsia" w:ascii="宋体" w:cs="宋体"/>
                <w:color w:val="000000"/>
                <w:kern w:val="0"/>
                <w:sz w:val="24"/>
                <w:szCs w:val="24"/>
                <w:lang w:bidi="ar-SA"/>
              </w:rPr>
              <w:br w:type="textWrapping"/>
            </w:r>
            <w:r>
              <w:rPr>
                <w:rFonts w:hint="eastAsia" w:ascii="宋体" w:cs="宋体"/>
                <w:color w:val="000000"/>
                <w:kern w:val="0"/>
                <w:sz w:val="24"/>
                <w:szCs w:val="24"/>
                <w:lang w:bidi="ar-SA"/>
              </w:rPr>
              <w:t>注：提供合同复印件（或中标通知书），加盖供应商公章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8" w:hRule="atLeast"/>
        </w:trPr>
        <w:tc>
          <w:tcPr>
            <w:tcW w:w="366" w:type="pct"/>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4</w:t>
            </w:r>
          </w:p>
        </w:tc>
        <w:tc>
          <w:tcPr>
            <w:tcW w:w="971" w:type="pct"/>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项目团队</w:t>
            </w:r>
            <w:r>
              <w:rPr>
                <w:rFonts w:hint="eastAsia" w:ascii="宋体" w:cs="宋体"/>
                <w:color w:val="000000"/>
                <w:kern w:val="0"/>
                <w:sz w:val="24"/>
                <w:szCs w:val="24"/>
                <w:lang w:val="en-US" w:eastAsia="zh-CN" w:bidi="ar-SA"/>
              </w:rPr>
              <w:t>8</w:t>
            </w:r>
            <w:r>
              <w:rPr>
                <w:rFonts w:hint="eastAsia" w:ascii="宋体" w:cs="宋体"/>
                <w:color w:val="000000"/>
                <w:kern w:val="0"/>
                <w:sz w:val="24"/>
                <w:szCs w:val="24"/>
                <w:lang w:bidi="ar-SA"/>
              </w:rPr>
              <w:t>%</w:t>
            </w:r>
          </w:p>
        </w:tc>
        <w:tc>
          <w:tcPr>
            <w:tcW w:w="366" w:type="pct"/>
            <w:noWrap w:val="0"/>
            <w:vAlign w:val="center"/>
          </w:tcPr>
          <w:p>
            <w:pPr>
              <w:widowControl/>
              <w:jc w:val="center"/>
              <w:rPr>
                <w:rFonts w:hint="eastAsia" w:ascii="宋体" w:eastAsia="宋体" w:cs="宋体"/>
                <w:color w:val="000000"/>
                <w:kern w:val="0"/>
                <w:sz w:val="24"/>
                <w:szCs w:val="24"/>
                <w:lang w:eastAsia="zh-CN" w:bidi="ar-SA"/>
              </w:rPr>
            </w:pPr>
            <w:r>
              <w:rPr>
                <w:rFonts w:hint="eastAsia" w:ascii="宋体" w:cs="宋体"/>
                <w:color w:val="000000"/>
                <w:kern w:val="0"/>
                <w:sz w:val="24"/>
                <w:szCs w:val="24"/>
                <w:lang w:val="en-US" w:eastAsia="zh-CN" w:bidi="ar-SA"/>
              </w:rPr>
              <w:t>8</w:t>
            </w:r>
          </w:p>
        </w:tc>
        <w:tc>
          <w:tcPr>
            <w:tcW w:w="3296" w:type="pct"/>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1、投标人配备项目经理1名，</w:t>
            </w:r>
            <w:r>
              <w:rPr>
                <w:rFonts w:hint="eastAsia" w:ascii="宋体" w:cs="宋体"/>
                <w:color w:val="000000"/>
                <w:kern w:val="0"/>
                <w:sz w:val="24"/>
                <w:szCs w:val="24"/>
                <w:lang w:val="en-US" w:eastAsia="zh-CN" w:bidi="ar-SA"/>
              </w:rPr>
              <w:t>具有系统集成项目管理工程师</w:t>
            </w:r>
            <w:r>
              <w:rPr>
                <w:rFonts w:hint="eastAsia" w:ascii="宋体" w:cs="宋体"/>
                <w:color w:val="000000"/>
                <w:kern w:val="0"/>
                <w:sz w:val="24"/>
                <w:szCs w:val="24"/>
                <w:lang w:bidi="ar-SA"/>
              </w:rPr>
              <w:t>（</w:t>
            </w:r>
            <w:r>
              <w:rPr>
                <w:rFonts w:hint="eastAsia" w:ascii="宋体" w:cs="宋体"/>
                <w:color w:val="000000"/>
                <w:kern w:val="0"/>
                <w:sz w:val="24"/>
                <w:szCs w:val="24"/>
                <w:lang w:val="en-US" w:eastAsia="zh-Hans" w:bidi="ar-SA"/>
              </w:rPr>
              <w:t>或IT服务项目经理</w:t>
            </w:r>
            <w:r>
              <w:rPr>
                <w:rFonts w:hint="eastAsia" w:ascii="宋体" w:cs="宋体"/>
                <w:color w:val="000000"/>
                <w:kern w:val="0"/>
                <w:sz w:val="24"/>
                <w:szCs w:val="24"/>
                <w:lang w:bidi="ar-SA"/>
              </w:rPr>
              <w:t>）得3分，未提供不得分；</w:t>
            </w:r>
            <w:r>
              <w:rPr>
                <w:rFonts w:hint="eastAsia" w:ascii="宋体" w:cs="宋体"/>
                <w:color w:val="000000"/>
                <w:kern w:val="0"/>
                <w:sz w:val="24"/>
                <w:szCs w:val="24"/>
                <w:lang w:bidi="ar-SA"/>
              </w:rPr>
              <w:br w:type="textWrapping"/>
            </w:r>
            <w:r>
              <w:rPr>
                <w:rFonts w:hint="eastAsia" w:ascii="宋体" w:cs="宋体"/>
                <w:color w:val="000000"/>
                <w:kern w:val="0"/>
                <w:sz w:val="24"/>
                <w:szCs w:val="24"/>
                <w:lang w:bidi="ar-SA"/>
              </w:rPr>
              <w:t>2、投标人配备技术经理1名，具有系统规划与管理师认证（</w:t>
            </w:r>
            <w:r>
              <w:rPr>
                <w:rFonts w:hint="eastAsia" w:ascii="宋体" w:cs="宋体"/>
                <w:color w:val="000000"/>
                <w:kern w:val="0"/>
                <w:sz w:val="24"/>
                <w:szCs w:val="24"/>
                <w:lang w:val="en-US" w:eastAsia="zh-Hans" w:bidi="ar-SA"/>
              </w:rPr>
              <w:t>或系统架构设计师</w:t>
            </w:r>
            <w:r>
              <w:rPr>
                <w:rFonts w:hint="eastAsia" w:ascii="宋体" w:cs="宋体"/>
                <w:color w:val="000000"/>
                <w:kern w:val="0"/>
                <w:sz w:val="24"/>
                <w:szCs w:val="24"/>
                <w:lang w:eastAsia="zh-Hans" w:bidi="ar-SA"/>
              </w:rPr>
              <w:t>）</w:t>
            </w:r>
            <w:r>
              <w:rPr>
                <w:rFonts w:hint="eastAsia" w:ascii="宋体" w:cs="宋体"/>
                <w:color w:val="000000"/>
                <w:kern w:val="0"/>
                <w:sz w:val="24"/>
                <w:szCs w:val="24"/>
                <w:lang w:bidi="ar-SA"/>
              </w:rPr>
              <w:t>得2分，未提供不得分；</w:t>
            </w:r>
            <w:r>
              <w:rPr>
                <w:rFonts w:hint="eastAsia" w:ascii="宋体" w:cs="宋体"/>
                <w:color w:val="000000"/>
                <w:kern w:val="0"/>
                <w:sz w:val="24"/>
                <w:szCs w:val="24"/>
                <w:lang w:bidi="ar-SA"/>
              </w:rPr>
              <w:br w:type="textWrapping"/>
            </w:r>
            <w:r>
              <w:rPr>
                <w:rFonts w:hint="eastAsia" w:ascii="宋体" w:cs="宋体"/>
                <w:color w:val="000000"/>
                <w:kern w:val="0"/>
                <w:sz w:val="24"/>
                <w:szCs w:val="24"/>
                <w:lang w:bidi="ar-SA"/>
              </w:rPr>
              <w:t>3、项目团队其他人员具备信息系统项目管理师、大数据工程师、安全工程师认证CISP，每提供1项得1分，最多得</w:t>
            </w:r>
            <w:r>
              <w:rPr>
                <w:rFonts w:hint="eastAsia" w:ascii="宋体" w:cs="宋体"/>
                <w:color w:val="000000"/>
                <w:kern w:val="0"/>
                <w:sz w:val="24"/>
                <w:szCs w:val="24"/>
                <w:lang w:val="en-US" w:eastAsia="zh-CN" w:bidi="ar-SA"/>
              </w:rPr>
              <w:t>3</w:t>
            </w:r>
            <w:r>
              <w:rPr>
                <w:rFonts w:hint="eastAsia" w:ascii="宋体" w:cs="宋体"/>
                <w:color w:val="000000"/>
                <w:kern w:val="0"/>
                <w:sz w:val="24"/>
                <w:szCs w:val="24"/>
                <w:lang w:bidi="ar-SA"/>
              </w:rPr>
              <w:t>分，未提供不得分。</w:t>
            </w:r>
            <w:r>
              <w:rPr>
                <w:rFonts w:hint="eastAsia" w:ascii="宋体" w:cs="宋体"/>
                <w:color w:val="000000"/>
                <w:kern w:val="0"/>
                <w:sz w:val="24"/>
                <w:szCs w:val="24"/>
                <w:lang w:bidi="ar-SA"/>
              </w:rPr>
              <w:br w:type="textWrapping"/>
            </w:r>
            <w:r>
              <w:rPr>
                <w:rFonts w:hint="eastAsia" w:ascii="宋体" w:cs="宋体"/>
                <w:color w:val="000000"/>
                <w:kern w:val="0"/>
                <w:sz w:val="24"/>
                <w:szCs w:val="24"/>
                <w:lang w:bidi="ar-SA"/>
              </w:rPr>
              <w:t>注：投标人须提供身份证、技术认证证书及近半年的社保缴纳证明，未能提供证明材料或证明材料不完整的不计入评分。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trPr>
        <w:tc>
          <w:tcPr>
            <w:tcW w:w="366" w:type="pct"/>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5</w:t>
            </w:r>
          </w:p>
        </w:tc>
        <w:tc>
          <w:tcPr>
            <w:tcW w:w="971" w:type="pct"/>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技术指标和配置30%</w:t>
            </w:r>
          </w:p>
        </w:tc>
        <w:tc>
          <w:tcPr>
            <w:tcW w:w="366" w:type="pct"/>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30</w:t>
            </w:r>
          </w:p>
        </w:tc>
        <w:tc>
          <w:tcPr>
            <w:tcW w:w="3296" w:type="pct"/>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投标人充分理解项目建设内容，需对采购内容的技术指标和配置参数逐一应答，所投产品的技术参数及指标完全满足招标文件要求的得30分。</w:t>
            </w:r>
          </w:p>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1、“★”项性指标参数</w:t>
            </w:r>
            <w:r>
              <w:rPr>
                <w:rFonts w:hint="eastAsia" w:ascii="宋体" w:cs="宋体"/>
                <w:color w:val="000000"/>
                <w:kern w:val="0"/>
                <w:sz w:val="24"/>
                <w:szCs w:val="24"/>
                <w:lang w:val="en-US" w:eastAsia="zh-CN" w:bidi="ar-SA"/>
              </w:rPr>
              <w:t>17</w:t>
            </w:r>
            <w:r>
              <w:rPr>
                <w:rFonts w:hint="eastAsia" w:ascii="宋体" w:cs="宋体"/>
                <w:color w:val="000000"/>
                <w:kern w:val="0"/>
                <w:sz w:val="24"/>
                <w:szCs w:val="24"/>
                <w:lang w:bidi="ar-SA"/>
              </w:rPr>
              <w:t>分，一共</w:t>
            </w:r>
            <w:r>
              <w:rPr>
                <w:rFonts w:hint="eastAsia" w:ascii="宋体" w:cs="宋体"/>
                <w:color w:val="000000"/>
                <w:kern w:val="0"/>
                <w:sz w:val="24"/>
                <w:szCs w:val="24"/>
                <w:lang w:val="en-US" w:eastAsia="zh-CN" w:bidi="ar-SA"/>
              </w:rPr>
              <w:t>34</w:t>
            </w:r>
            <w:r>
              <w:rPr>
                <w:rFonts w:hint="eastAsia" w:ascii="宋体" w:cs="宋体"/>
                <w:color w:val="000000"/>
                <w:kern w:val="0"/>
                <w:sz w:val="24"/>
                <w:szCs w:val="24"/>
                <w:lang w:bidi="ar-SA"/>
              </w:rPr>
              <w:t>项，每一项不满足招标要求扣0.5 分，扣完为止；</w:t>
            </w:r>
          </w:p>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2、非“★”项性指标参数</w:t>
            </w:r>
            <w:r>
              <w:rPr>
                <w:rFonts w:hint="eastAsia" w:ascii="宋体" w:cs="宋体"/>
                <w:color w:val="000000"/>
                <w:kern w:val="0"/>
                <w:sz w:val="24"/>
                <w:szCs w:val="24"/>
                <w:lang w:val="en-US" w:eastAsia="zh-CN" w:bidi="ar-SA"/>
              </w:rPr>
              <w:t>13</w:t>
            </w:r>
            <w:r>
              <w:rPr>
                <w:rFonts w:hint="eastAsia" w:ascii="宋体" w:cs="宋体"/>
                <w:color w:val="000000"/>
                <w:kern w:val="0"/>
                <w:sz w:val="24"/>
                <w:szCs w:val="24"/>
                <w:lang w:bidi="ar-SA"/>
              </w:rPr>
              <w:t>分，一共68</w:t>
            </w:r>
            <w:r>
              <w:rPr>
                <w:rFonts w:hint="eastAsia" w:ascii="宋体" w:cs="宋体"/>
                <w:color w:val="000000"/>
                <w:kern w:val="0"/>
                <w:sz w:val="24"/>
                <w:szCs w:val="24"/>
                <w:lang w:val="en-US" w:eastAsia="zh-CN" w:bidi="ar-SA"/>
              </w:rPr>
              <w:t>7</w:t>
            </w:r>
            <w:r>
              <w:rPr>
                <w:rFonts w:hint="eastAsia" w:ascii="宋体" w:cs="宋体"/>
                <w:color w:val="000000"/>
                <w:kern w:val="0"/>
                <w:sz w:val="24"/>
                <w:szCs w:val="24"/>
                <w:lang w:bidi="ar-SA"/>
              </w:rPr>
              <w:t>项，每一项不满足招标要求扣0.</w:t>
            </w:r>
            <w:r>
              <w:rPr>
                <w:rFonts w:hint="eastAsia" w:ascii="宋体" w:cs="宋体"/>
                <w:color w:val="000000"/>
                <w:kern w:val="0"/>
                <w:sz w:val="24"/>
                <w:szCs w:val="24"/>
                <w:lang w:val="en-US" w:eastAsia="zh-CN" w:bidi="ar-SA"/>
              </w:rPr>
              <w:t>02</w:t>
            </w:r>
            <w:r>
              <w:rPr>
                <w:rFonts w:hint="eastAsia" w:ascii="宋体" w:cs="宋体"/>
                <w:color w:val="000000"/>
                <w:kern w:val="0"/>
                <w:sz w:val="24"/>
                <w:szCs w:val="24"/>
                <w:lang w:bidi="ar-SA"/>
              </w:rPr>
              <w:t xml:space="preserve"> 分，扣完为止；</w:t>
            </w:r>
            <w:r>
              <w:rPr>
                <w:rFonts w:hint="eastAsia" w:ascii="宋体" w:cs="宋体"/>
                <w:color w:val="000000"/>
                <w:kern w:val="0"/>
                <w:sz w:val="24"/>
                <w:szCs w:val="24"/>
                <w:lang w:bidi="ar-SA"/>
              </w:rPr>
              <w:br w:type="textWrapping"/>
            </w:r>
            <w:r>
              <w:rPr>
                <w:rFonts w:hint="eastAsia" w:ascii="宋体" w:cs="宋体"/>
                <w:color w:val="000000"/>
                <w:kern w:val="0"/>
                <w:sz w:val="24"/>
                <w:szCs w:val="24"/>
                <w:lang w:bidi="ar-SA"/>
              </w:rPr>
              <w:t>注：“★”项按招标文件要求提供证明材料加盖投标人鲜章，未提供的对应“★”项将做扣分处理。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366" w:type="pct"/>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6</w:t>
            </w:r>
          </w:p>
        </w:tc>
        <w:tc>
          <w:tcPr>
            <w:tcW w:w="971" w:type="pct"/>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系统演示16%</w:t>
            </w:r>
          </w:p>
        </w:tc>
        <w:tc>
          <w:tcPr>
            <w:tcW w:w="366" w:type="pct"/>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16</w:t>
            </w:r>
          </w:p>
        </w:tc>
        <w:tc>
          <w:tcPr>
            <w:tcW w:w="3296" w:type="pct"/>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根据现场讲解与系统演示情况进行综合打分，各项演示要求能够逐一响应并完成演示的可得满分，PPT 演示或 demo 的不得分，供应商按抽签顺序进行演示，演示实际时间不超过 30分钟(网络及设备等调试除外），演示通知5分钟后还未到演示现场的供应商，视为放弃演示。</w:t>
            </w:r>
          </w:p>
          <w:p>
            <w:pPr>
              <w:rPr>
                <w:rFonts w:hint="eastAsia" w:ascii="宋体"/>
                <w:sz w:val="24"/>
                <w:szCs w:val="24"/>
                <w:lang w:eastAsia="zh-Hans"/>
              </w:rPr>
            </w:pPr>
            <w:r>
              <w:rPr>
                <w:rFonts w:hint="eastAsia" w:ascii="宋体"/>
                <w:sz w:val="24"/>
                <w:szCs w:val="24"/>
              </w:rPr>
              <w:t>1、演示</w:t>
            </w:r>
            <w:r>
              <w:rPr>
                <w:rFonts w:hint="eastAsia" w:ascii="宋体"/>
                <w:sz w:val="24"/>
                <w:szCs w:val="24"/>
                <w:lang w:eastAsia="zh-Hans"/>
              </w:rPr>
              <w:t>退役军人电子档案管理系统，包括：退役军人和其他优抚对象基本情况、生活情况、就业创业、信访咨询、援助帮扶等信息管理，符合部/省系统信息内容覆盖要求。</w:t>
            </w:r>
          </w:p>
          <w:p>
            <w:pPr>
              <w:rPr>
                <w:rFonts w:hint="eastAsia" w:ascii="宋体"/>
                <w:sz w:val="24"/>
                <w:szCs w:val="24"/>
                <w:lang w:eastAsia="zh-Hans"/>
              </w:rPr>
            </w:pPr>
            <w:r>
              <w:rPr>
                <w:rFonts w:hint="eastAsia" w:ascii="宋体"/>
                <w:sz w:val="24"/>
                <w:szCs w:val="24"/>
              </w:rPr>
              <w:t>2、演示掌上服务平台大厅</w:t>
            </w:r>
            <w:r>
              <w:rPr>
                <w:rFonts w:hint="eastAsia" w:ascii="宋体"/>
                <w:sz w:val="24"/>
                <w:szCs w:val="24"/>
                <w:lang w:eastAsia="zh-Hans"/>
              </w:rPr>
              <w:t>系统，包括：</w:t>
            </w:r>
            <w:r>
              <w:rPr>
                <w:rFonts w:hint="eastAsia" w:ascii="宋体"/>
                <w:sz w:val="24"/>
                <w:szCs w:val="24"/>
              </w:rPr>
              <w:t>身份认证、业务办理预约、信息展示及查询、“一站式”报道、站点查询、教育培训信息查询及意向填报、就业创业信息查询及意向填报、退役军人信息年度认证、咨询服务、智能问答、线上服务超市和个人中心等功能</w:t>
            </w:r>
            <w:r>
              <w:rPr>
                <w:rFonts w:hint="eastAsia" w:ascii="宋体"/>
                <w:sz w:val="24"/>
                <w:szCs w:val="24"/>
                <w:lang w:eastAsia="zh-Hans"/>
              </w:rPr>
              <w:t>。</w:t>
            </w:r>
          </w:p>
          <w:p>
            <w:pPr>
              <w:rPr>
                <w:rFonts w:hint="eastAsia" w:ascii="宋体"/>
                <w:sz w:val="24"/>
                <w:szCs w:val="24"/>
                <w:lang w:eastAsia="zh-Hans"/>
              </w:rPr>
            </w:pPr>
            <w:r>
              <w:rPr>
                <w:rFonts w:hint="eastAsia" w:ascii="宋体"/>
                <w:sz w:val="24"/>
                <w:szCs w:val="24"/>
              </w:rPr>
              <w:t>3、演示</w:t>
            </w:r>
            <w:r>
              <w:rPr>
                <w:rFonts w:hint="eastAsia" w:ascii="宋体"/>
                <w:sz w:val="24"/>
                <w:szCs w:val="24"/>
                <w:lang w:eastAsia="zh-Hans"/>
              </w:rPr>
              <w:t>服务业务办理系统，包括：系统基本管理、内容管理、业务受理管理、信访管理、日常走访管理、就业创业管理、教育培训管理、基层服务工作管理、机构信息管理、重点人员提示、移动端服务工作管理、服务对象信息查询功能。</w:t>
            </w:r>
          </w:p>
          <w:p>
            <w:pPr>
              <w:rPr>
                <w:rFonts w:hint="eastAsia" w:ascii="宋体"/>
                <w:sz w:val="24"/>
                <w:szCs w:val="24"/>
                <w:lang w:eastAsia="zh-Hans"/>
              </w:rPr>
            </w:pPr>
            <w:r>
              <w:rPr>
                <w:rFonts w:hint="eastAsia" w:ascii="宋体"/>
                <w:sz w:val="24"/>
                <w:szCs w:val="24"/>
                <w:lang w:eastAsia="zh-Hans"/>
              </w:rPr>
              <w:t>数据平台演示内容</w:t>
            </w:r>
          </w:p>
          <w:p>
            <w:pPr>
              <w:pStyle w:val="2"/>
              <w:rPr>
                <w:rFonts w:hint="eastAsia" w:ascii="宋体"/>
                <w:sz w:val="24"/>
                <w:szCs w:val="24"/>
                <w:lang w:val="en-US" w:eastAsia="zh-CN"/>
              </w:rPr>
            </w:pPr>
            <w:r>
              <w:rPr>
                <w:rFonts w:hint="eastAsia" w:ascii="宋体"/>
                <w:sz w:val="24"/>
                <w:szCs w:val="24"/>
                <w:lang w:val="en-US" w:eastAsia="zh-CN"/>
              </w:rPr>
              <w:t xml:space="preserve">4、演示退役军人综合信息数据库：按照部级规范，能够展示公共库、业务库、档案库的相关数据信息列表，包括安置业务库、教育培训库、权益维护库、退役军人及其优抚对象库。 </w:t>
            </w:r>
            <w:r>
              <w:rPr>
                <w:rFonts w:hint="eastAsia" w:ascii="宋体"/>
                <w:sz w:val="24"/>
                <w:szCs w:val="24"/>
                <w:lang w:val="en-US" w:eastAsia="zh-CN"/>
              </w:rPr>
              <w:br w:type="textWrapping"/>
            </w:r>
            <w:r>
              <w:rPr>
                <w:rFonts w:hint="eastAsia" w:ascii="宋体"/>
                <w:sz w:val="24"/>
                <w:szCs w:val="24"/>
                <w:lang w:val="en-US" w:eastAsia="zh-CN"/>
              </w:rPr>
              <w:t xml:space="preserve">5、演示一体化自助服务终端应用系统：支持查看服务事项的办事指南、在线咨询等操作，演示一个办事服务的在线办理业务流程，退役军人可在服务平台和自助终端机查看到办事进度和结果。 </w:t>
            </w:r>
            <w:r>
              <w:rPr>
                <w:rFonts w:hint="eastAsia" w:ascii="宋体"/>
                <w:sz w:val="24"/>
                <w:szCs w:val="24"/>
                <w:lang w:val="en-US" w:eastAsia="zh-CN"/>
              </w:rPr>
              <w:br w:type="textWrapping"/>
            </w:r>
            <w:r>
              <w:rPr>
                <w:rFonts w:hint="eastAsia" w:ascii="宋体"/>
                <w:sz w:val="24"/>
                <w:szCs w:val="24"/>
                <w:lang w:val="en-US" w:eastAsia="zh-CN"/>
              </w:rPr>
              <w:t xml:space="preserve">6、演示统一门户管理系统：一体化事务平台的统一登录，可以利用单点登录跳转到其它相关的业务系统，可以进入我的待办、我的待阅，进行相关工作查看和处理；可以管理“我的应用”，进行应用分类、搜索，可以拖拽到我的常用应用中；可以进入统一应用支撑平台，进行用户管理、权限管理和事项管理功能。 </w:t>
            </w:r>
            <w:r>
              <w:rPr>
                <w:rFonts w:hint="eastAsia" w:ascii="宋体"/>
                <w:sz w:val="24"/>
                <w:szCs w:val="24"/>
                <w:lang w:val="en-US" w:eastAsia="zh-CN"/>
              </w:rPr>
              <w:br w:type="textWrapping"/>
            </w:r>
            <w:r>
              <w:rPr>
                <w:rFonts w:hint="eastAsia" w:ascii="宋体"/>
                <w:sz w:val="24"/>
                <w:szCs w:val="24"/>
                <w:lang w:val="en-US" w:eastAsia="zh-CN"/>
              </w:rPr>
              <w:t xml:space="preserve">7、演示大数据分析及可视化系统：全景多种图表展示任意地区退役军人人员、业务分布情况，包括演示退役军人画像、就业创业专题应用、优待抚恤专题应用、移交安置专题应用、军休安置专题应用、政策法规及权益维护专题应用专题应用中任意三个专题应用。 </w:t>
            </w:r>
            <w:r>
              <w:rPr>
                <w:rFonts w:hint="eastAsia" w:ascii="宋体"/>
                <w:sz w:val="24"/>
                <w:szCs w:val="24"/>
                <w:lang w:val="en-US" w:eastAsia="zh-CN"/>
              </w:rPr>
              <w:br w:type="textWrapping"/>
            </w:r>
            <w:r>
              <w:rPr>
                <w:rFonts w:hint="eastAsia" w:ascii="宋体"/>
                <w:sz w:val="24"/>
                <w:szCs w:val="24"/>
                <w:lang w:val="en-US" w:eastAsia="zh-CN"/>
              </w:rPr>
              <w:t>8、演示数据协同平台：通过可视化操作界面自动生成满足业务需要的交换任务，支持数据加密传输、各种脱敏算法、</w:t>
            </w:r>
            <w:r>
              <w:rPr>
                <w:rFonts w:hint="eastAsia" w:ascii="宋体"/>
                <w:sz w:val="24"/>
              </w:rPr>
              <w:t>支持输入参数、服务授权、服务使用限制等的配置，其中返回参数值支持数据脱敏规则的配置。</w:t>
            </w:r>
          </w:p>
          <w:p>
            <w:pPr>
              <w:pStyle w:val="2"/>
              <w:rPr>
                <w:rFonts w:hint="eastAsia" w:ascii="宋体"/>
                <w:sz w:val="24"/>
                <w:szCs w:val="24"/>
              </w:rPr>
            </w:pPr>
            <w:r>
              <w:rPr>
                <w:rFonts w:hint="eastAsia" w:ascii="宋体"/>
                <w:sz w:val="24"/>
                <w:szCs w:val="24"/>
              </w:rPr>
              <w:t>演示内容应该完整清晰，全部演示的得16分，每缺少一项扣2分，扣完为止。（演示内容不完整视为该项内容未演示）。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trPr>
        <w:tc>
          <w:tcPr>
            <w:tcW w:w="366" w:type="pct"/>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7</w:t>
            </w:r>
          </w:p>
        </w:tc>
        <w:tc>
          <w:tcPr>
            <w:tcW w:w="971" w:type="pct"/>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技术方案8%</w:t>
            </w:r>
          </w:p>
        </w:tc>
        <w:tc>
          <w:tcPr>
            <w:tcW w:w="366" w:type="pct"/>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8</w:t>
            </w:r>
          </w:p>
        </w:tc>
        <w:tc>
          <w:tcPr>
            <w:tcW w:w="3296" w:type="pct"/>
            <w:noWrap w:val="0"/>
            <w:vAlign w:val="center"/>
          </w:tcPr>
          <w:p>
            <w:pPr>
              <w:rPr>
                <w:rFonts w:hint="eastAsia"/>
                <w:color w:val="auto"/>
                <w:sz w:val="24"/>
                <w:szCs w:val="24"/>
              </w:rPr>
            </w:pPr>
            <w:r>
              <w:rPr>
                <w:rFonts w:hint="eastAsia"/>
                <w:color w:val="auto"/>
                <w:sz w:val="24"/>
                <w:szCs w:val="24"/>
              </w:rPr>
              <w:t>投标人应提供本项目详细、可行、合理的技术方案：</w:t>
            </w:r>
          </w:p>
          <w:p>
            <w:pPr>
              <w:rPr>
                <w:color w:val="auto"/>
                <w:sz w:val="24"/>
                <w:szCs w:val="24"/>
              </w:rPr>
            </w:pPr>
            <w:r>
              <w:rPr>
                <w:color w:val="auto"/>
                <w:sz w:val="24"/>
                <w:szCs w:val="24"/>
              </w:rPr>
              <w:t>1</w:t>
            </w:r>
            <w:r>
              <w:rPr>
                <w:rFonts w:hint="eastAsia"/>
                <w:color w:val="auto"/>
                <w:sz w:val="24"/>
                <w:szCs w:val="24"/>
              </w:rPr>
              <w:t>、具有信息资源规划和数据建设方案：①信息资源梳理、</w:t>
            </w:r>
            <w:r>
              <w:rPr>
                <w:rFonts w:hint="eastAsia"/>
                <w:color w:val="auto"/>
                <w:sz w:val="24"/>
                <w:szCs w:val="24"/>
                <w:lang w:val="en-US" w:eastAsia="zh-CN"/>
              </w:rPr>
              <w:t>②</w:t>
            </w:r>
            <w:r>
              <w:rPr>
                <w:rFonts w:hint="eastAsia"/>
                <w:color w:val="auto"/>
                <w:sz w:val="24"/>
                <w:szCs w:val="24"/>
              </w:rPr>
              <w:t>退役军人电子档案管理系统（一人一档）、</w:t>
            </w:r>
            <w:r>
              <w:rPr>
                <w:rFonts w:hint="eastAsia"/>
                <w:color w:val="auto"/>
                <w:sz w:val="24"/>
                <w:szCs w:val="24"/>
                <w:lang w:val="en-US" w:eastAsia="zh-CN"/>
              </w:rPr>
              <w:t>③</w:t>
            </w:r>
            <w:r>
              <w:rPr>
                <w:rFonts w:hint="eastAsia"/>
                <w:color w:val="auto"/>
                <w:sz w:val="24"/>
                <w:szCs w:val="24"/>
              </w:rPr>
              <w:t>退役军人综合信息数据库建库，</w:t>
            </w:r>
          </w:p>
          <w:p>
            <w:pPr>
              <w:rPr>
                <w:color w:val="auto"/>
                <w:sz w:val="24"/>
                <w:szCs w:val="24"/>
              </w:rPr>
            </w:pPr>
            <w:r>
              <w:rPr>
                <w:color w:val="auto"/>
                <w:sz w:val="24"/>
                <w:szCs w:val="24"/>
              </w:rPr>
              <w:t>2</w:t>
            </w:r>
            <w:r>
              <w:rPr>
                <w:rFonts w:hint="eastAsia"/>
                <w:color w:val="auto"/>
                <w:sz w:val="24"/>
                <w:szCs w:val="24"/>
              </w:rPr>
              <w:t>、具有应用支撑平台建设方案：</w:t>
            </w:r>
            <w:r>
              <w:rPr>
                <w:rFonts w:hint="eastAsia"/>
                <w:color w:val="auto"/>
                <w:sz w:val="24"/>
                <w:szCs w:val="24"/>
                <w:lang w:val="en-US" w:eastAsia="zh-CN"/>
              </w:rPr>
              <w:t>④信息资源目录标准规范</w:t>
            </w:r>
            <w:r>
              <w:rPr>
                <w:rFonts w:hint="eastAsia"/>
                <w:color w:val="auto"/>
                <w:sz w:val="24"/>
                <w:szCs w:val="24"/>
              </w:rPr>
              <w:t>、</w:t>
            </w:r>
            <w:r>
              <w:rPr>
                <w:rFonts w:hint="eastAsia"/>
                <w:color w:val="auto"/>
                <w:sz w:val="24"/>
                <w:szCs w:val="24"/>
                <w:lang w:val="en-US" w:eastAsia="zh-CN"/>
              </w:rPr>
              <w:t>⑤</w:t>
            </w:r>
            <w:r>
              <w:rPr>
                <w:rFonts w:hint="eastAsia"/>
                <w:color w:val="auto"/>
                <w:sz w:val="24"/>
                <w:szCs w:val="24"/>
              </w:rPr>
              <w:t>元数据管理平台、</w:t>
            </w:r>
            <w:r>
              <w:rPr>
                <w:rFonts w:hint="eastAsia"/>
                <w:color w:val="auto"/>
                <w:sz w:val="24"/>
                <w:szCs w:val="24"/>
                <w:lang w:val="en-US" w:eastAsia="zh-CN"/>
              </w:rPr>
              <w:t>⑥</w:t>
            </w:r>
            <w:r>
              <w:rPr>
                <w:rFonts w:hint="eastAsia" w:ascii="宋体"/>
                <w:color w:val="auto"/>
                <w:sz w:val="24"/>
                <w:szCs w:val="24"/>
                <w:lang w:val="en-US" w:eastAsia="zh-CN"/>
              </w:rPr>
              <w:t>数据协同平台</w:t>
            </w:r>
            <w:r>
              <w:rPr>
                <w:rFonts w:hint="eastAsia"/>
                <w:color w:val="auto"/>
                <w:sz w:val="24"/>
                <w:szCs w:val="24"/>
              </w:rPr>
              <w:t>、</w:t>
            </w:r>
            <w:r>
              <w:rPr>
                <w:rFonts w:hint="eastAsia"/>
                <w:color w:val="auto"/>
                <w:sz w:val="24"/>
                <w:szCs w:val="24"/>
                <w:lang w:val="en-US" w:eastAsia="zh-CN"/>
              </w:rPr>
              <w:t>⑦</w:t>
            </w:r>
            <w:r>
              <w:rPr>
                <w:rFonts w:hint="eastAsia" w:ascii="宋体" w:cs="宋体"/>
                <w:color w:val="auto"/>
                <w:kern w:val="0"/>
                <w:sz w:val="24"/>
                <w:szCs w:val="24"/>
                <w:lang w:bidi="ar-SA"/>
              </w:rPr>
              <w:t>数据质量管理平台、</w:t>
            </w:r>
            <w:r>
              <w:rPr>
                <w:rFonts w:hint="eastAsia" w:ascii="宋体" w:cs="宋体"/>
                <w:color w:val="auto"/>
                <w:kern w:val="0"/>
                <w:sz w:val="24"/>
                <w:szCs w:val="24"/>
                <w:lang w:val="en-US" w:eastAsia="zh-CN" w:bidi="ar-SA"/>
              </w:rPr>
              <w:t>⑧</w:t>
            </w:r>
            <w:r>
              <w:rPr>
                <w:rFonts w:hint="eastAsia"/>
                <w:color w:val="auto"/>
                <w:sz w:val="24"/>
                <w:szCs w:val="24"/>
              </w:rPr>
              <w:t>大数据分析及可视化系统、⑨统一门户管理系统；</w:t>
            </w:r>
          </w:p>
          <w:p>
            <w:pPr>
              <w:rPr>
                <w:rFonts w:hint="eastAsia"/>
                <w:color w:val="auto"/>
                <w:sz w:val="24"/>
                <w:szCs w:val="24"/>
              </w:rPr>
            </w:pPr>
            <w:r>
              <w:rPr>
                <w:rFonts w:hint="eastAsia"/>
                <w:color w:val="auto"/>
                <w:sz w:val="24"/>
                <w:szCs w:val="24"/>
              </w:rPr>
              <w:t>3、具有应用软件建设方案：</w:t>
            </w:r>
            <w:r>
              <w:rPr>
                <w:rFonts w:hint="eastAsia"/>
                <w:color w:val="auto"/>
                <w:sz w:val="24"/>
                <w:szCs w:val="24"/>
                <w:lang w:val="en-US" w:eastAsia="zh-CN"/>
              </w:rPr>
              <w:t>⑩</w:t>
            </w:r>
            <w:r>
              <w:rPr>
                <w:rFonts w:hint="eastAsia"/>
                <w:color w:val="auto"/>
                <w:sz w:val="24"/>
                <w:szCs w:val="24"/>
              </w:rPr>
              <w:t>一体化自助服务终端应用系统、⑪一体化服务业务办理系统、⑫一体化掌上服务平台、⑬眉山退役军人就创业系统；</w:t>
            </w:r>
          </w:p>
          <w:p>
            <w:pPr>
              <w:rPr>
                <w:sz w:val="24"/>
                <w:szCs w:val="24"/>
              </w:rPr>
            </w:pPr>
            <w:r>
              <w:rPr>
                <w:rFonts w:hint="eastAsia"/>
                <w:color w:val="auto"/>
                <w:sz w:val="24"/>
                <w:szCs w:val="24"/>
              </w:rPr>
              <w:t>注：1</w:t>
            </w:r>
            <w:r>
              <w:rPr>
                <w:color w:val="auto"/>
                <w:sz w:val="24"/>
                <w:szCs w:val="24"/>
              </w:rPr>
              <w:t>3</w:t>
            </w:r>
            <w:r>
              <w:rPr>
                <w:rFonts w:hint="eastAsia"/>
                <w:color w:val="auto"/>
                <w:sz w:val="24"/>
                <w:szCs w:val="24"/>
              </w:rPr>
              <w:t>项总分</w:t>
            </w:r>
            <w:r>
              <w:rPr>
                <w:color w:val="auto"/>
                <w:sz w:val="24"/>
                <w:szCs w:val="24"/>
              </w:rPr>
              <w:t>8</w:t>
            </w:r>
            <w:r>
              <w:rPr>
                <w:rFonts w:hint="eastAsia"/>
                <w:color w:val="auto"/>
                <w:sz w:val="24"/>
                <w:szCs w:val="24"/>
              </w:rPr>
              <w:t>分，每一项内容齐全满足项目要求需求的得</w:t>
            </w:r>
            <w:r>
              <w:rPr>
                <w:color w:val="auto"/>
                <w:sz w:val="24"/>
                <w:szCs w:val="24"/>
              </w:rPr>
              <w:t>0</w:t>
            </w:r>
            <w:r>
              <w:rPr>
                <w:rFonts w:hint="eastAsia"/>
                <w:color w:val="auto"/>
                <w:sz w:val="24"/>
                <w:szCs w:val="24"/>
              </w:rPr>
              <w:t>.</w:t>
            </w:r>
            <w:r>
              <w:rPr>
                <w:color w:val="auto"/>
                <w:sz w:val="24"/>
                <w:szCs w:val="24"/>
              </w:rPr>
              <w:t>62</w:t>
            </w:r>
            <w:r>
              <w:rPr>
                <w:rFonts w:hint="eastAsia"/>
                <w:color w:val="auto"/>
                <w:sz w:val="24"/>
                <w:szCs w:val="24"/>
              </w:rPr>
              <w:t>分，每有一项内容存在不足（存在不足是指理解不准确、不符合实际、虽有内容但描述存在偏离情况的）的扣0.</w:t>
            </w:r>
            <w:r>
              <w:rPr>
                <w:color w:val="auto"/>
                <w:sz w:val="24"/>
                <w:szCs w:val="24"/>
              </w:rPr>
              <w:t>3</w:t>
            </w:r>
            <w:r>
              <w:rPr>
                <w:rFonts w:hint="eastAsia"/>
                <w:color w:val="auto"/>
                <w:sz w:val="24"/>
                <w:szCs w:val="24"/>
              </w:rPr>
              <w:t>分，扣完为止，未提供不得分。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366" w:type="pct"/>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8</w:t>
            </w:r>
          </w:p>
        </w:tc>
        <w:tc>
          <w:tcPr>
            <w:tcW w:w="971" w:type="pct"/>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实施方案4%</w:t>
            </w:r>
          </w:p>
        </w:tc>
        <w:tc>
          <w:tcPr>
            <w:tcW w:w="366" w:type="pct"/>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4</w:t>
            </w:r>
          </w:p>
        </w:tc>
        <w:tc>
          <w:tcPr>
            <w:tcW w:w="3296" w:type="pct"/>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投标人针对本项目提出了明确的实施方案，包括：实施组织和人员、实施计划、质量管理、测试管理。内容齐全满足项目需求的得4分，缺少一项扣1分，每有一项内容存在不足（存在不足是指理解不准确、不符合实际、虽有内容但描述存在偏离情况的）的扣 0.5 分，扣完为止。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366" w:type="pct"/>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9</w:t>
            </w:r>
          </w:p>
        </w:tc>
        <w:tc>
          <w:tcPr>
            <w:tcW w:w="971" w:type="pct"/>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售后方案3%</w:t>
            </w:r>
          </w:p>
        </w:tc>
        <w:tc>
          <w:tcPr>
            <w:tcW w:w="366" w:type="pct"/>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3</w:t>
            </w:r>
          </w:p>
        </w:tc>
        <w:tc>
          <w:tcPr>
            <w:tcW w:w="3296" w:type="pct"/>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投标人针对本项目提出了明确的售后服务方案，包括：维护保修计划、服务措施、培训方案。内容齐全满足项目需求的得3分，缺少一项扣1分，每有一项内容存在不足（存在不足是指理解不准确、不符合实际、虽有内容但描述存在偏离情况的）的扣0.5分，扣完为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0" w:hRule="atLeast"/>
        </w:trPr>
        <w:tc>
          <w:tcPr>
            <w:tcW w:w="366" w:type="pct"/>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10</w:t>
            </w:r>
          </w:p>
        </w:tc>
        <w:tc>
          <w:tcPr>
            <w:tcW w:w="971" w:type="pct"/>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节能、环境标志产品</w:t>
            </w:r>
            <w:r>
              <w:rPr>
                <w:rFonts w:hint="eastAsia" w:ascii="宋体" w:cs="宋体"/>
                <w:color w:val="000000"/>
                <w:kern w:val="0"/>
                <w:sz w:val="24"/>
                <w:szCs w:val="24"/>
                <w:lang w:bidi="ar-SA"/>
              </w:rPr>
              <w:br w:type="textWrapping"/>
            </w:r>
            <w:r>
              <w:rPr>
                <w:rFonts w:hint="eastAsia" w:ascii="宋体" w:cs="宋体"/>
                <w:color w:val="000000"/>
                <w:kern w:val="0"/>
                <w:sz w:val="24"/>
                <w:szCs w:val="24"/>
                <w:lang w:bidi="ar-SA"/>
              </w:rPr>
              <w:t>2%</w:t>
            </w:r>
          </w:p>
        </w:tc>
        <w:tc>
          <w:tcPr>
            <w:tcW w:w="366" w:type="pct"/>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2</w:t>
            </w:r>
          </w:p>
        </w:tc>
        <w:tc>
          <w:tcPr>
            <w:tcW w:w="3296" w:type="pct"/>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投标产品中属于国家优先采购范围的，则每有一项为政府采购节能产品或者环境标志产品得1分，本项最多得2分。</w:t>
            </w:r>
            <w:r>
              <w:rPr>
                <w:rFonts w:hint="eastAsia" w:ascii="宋体" w:cs="宋体"/>
                <w:color w:val="000000"/>
                <w:kern w:val="0"/>
                <w:sz w:val="24"/>
                <w:szCs w:val="24"/>
                <w:lang w:bidi="ar-SA"/>
              </w:rPr>
              <w:br w:type="textWrapping"/>
            </w:r>
            <w:r>
              <w:rPr>
                <w:rFonts w:hint="eastAsia" w:ascii="宋体" w:cs="宋体"/>
                <w:color w:val="000000"/>
                <w:kern w:val="0"/>
                <w:sz w:val="24"/>
                <w:szCs w:val="24"/>
                <w:lang w:bidi="ar-SA"/>
              </w:rPr>
              <w:t>注：1、按照《关于调整优化节能产品、环境标志产品政府采购执行机制的通知》(财库(2019)9号)的规定，属于政府优先采购的品目清单范围的，提供国家确定的认证机构出具的、处于有效期之内的节能产品、环境标志产品认证证书,提供1项得1分最多2分。如品目清单未发布，提供证书的均按提供l项得l分，最多2分评审。</w:t>
            </w:r>
          </w:p>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2、强制采购节能产品除外。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366" w:type="pct"/>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11</w:t>
            </w:r>
          </w:p>
        </w:tc>
        <w:tc>
          <w:tcPr>
            <w:tcW w:w="971" w:type="pct"/>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扶持少数民族1%</w:t>
            </w:r>
          </w:p>
        </w:tc>
        <w:tc>
          <w:tcPr>
            <w:tcW w:w="366" w:type="pct"/>
            <w:noWrap w:val="0"/>
            <w:vAlign w:val="center"/>
          </w:tcPr>
          <w:p>
            <w:pPr>
              <w:widowControl/>
              <w:jc w:val="center"/>
              <w:rPr>
                <w:rFonts w:hint="eastAsia" w:ascii="宋体" w:cs="宋体"/>
                <w:color w:val="000000"/>
                <w:kern w:val="0"/>
                <w:sz w:val="24"/>
                <w:szCs w:val="24"/>
                <w:lang w:bidi="ar-SA"/>
              </w:rPr>
            </w:pPr>
            <w:r>
              <w:rPr>
                <w:rFonts w:hint="eastAsia" w:ascii="宋体" w:cs="宋体"/>
                <w:color w:val="000000"/>
                <w:kern w:val="0"/>
                <w:sz w:val="24"/>
                <w:szCs w:val="24"/>
                <w:lang w:bidi="ar-SA"/>
              </w:rPr>
              <w:t>1</w:t>
            </w:r>
          </w:p>
        </w:tc>
        <w:tc>
          <w:tcPr>
            <w:tcW w:w="3296" w:type="pct"/>
            <w:noWrap w:val="0"/>
            <w:vAlign w:val="center"/>
          </w:tcPr>
          <w:p>
            <w:pPr>
              <w:widowControl/>
              <w:jc w:val="left"/>
              <w:rPr>
                <w:rFonts w:hint="eastAsia" w:ascii="宋体" w:cs="宋体"/>
                <w:color w:val="000000"/>
                <w:kern w:val="0"/>
                <w:sz w:val="24"/>
                <w:szCs w:val="24"/>
                <w:lang w:bidi="ar-SA"/>
              </w:rPr>
            </w:pPr>
            <w:r>
              <w:rPr>
                <w:rFonts w:hint="eastAsia" w:ascii="宋体" w:cs="宋体"/>
                <w:color w:val="000000"/>
                <w:kern w:val="0"/>
                <w:sz w:val="24"/>
                <w:szCs w:val="24"/>
                <w:lang w:bidi="ar-SA"/>
              </w:rPr>
              <w:t>投标人注册地为少数民族地区的加1分。</w:t>
            </w:r>
            <w:r>
              <w:rPr>
                <w:rFonts w:hint="eastAsia" w:ascii="宋体" w:cs="宋体"/>
                <w:color w:val="000000"/>
                <w:kern w:val="0"/>
                <w:sz w:val="24"/>
                <w:szCs w:val="24"/>
                <w:lang w:bidi="ar-SA"/>
              </w:rPr>
              <w:br w:type="textWrapping"/>
            </w:r>
            <w:r>
              <w:rPr>
                <w:rFonts w:hint="eastAsia" w:ascii="宋体" w:cs="宋体"/>
                <w:color w:val="000000"/>
                <w:kern w:val="0"/>
                <w:sz w:val="24"/>
                <w:szCs w:val="24"/>
                <w:lang w:bidi="ar-SA"/>
              </w:rPr>
              <w:t>注：投标人提供注册地为少数民族地区的相关证明材料。</w:t>
            </w:r>
          </w:p>
        </w:tc>
      </w:tr>
    </w:tbl>
    <w:p>
      <w:pPr>
        <w:spacing w:line="400" w:lineRule="exact"/>
        <w:ind w:firstLine="482" w:firstLineChars="200"/>
        <w:rPr>
          <w:rFonts w:asciiTheme="majorEastAsia" w:hAnsiTheme="majorEastAsia" w:eastAsiaTheme="majorEastAsia"/>
          <w:b/>
          <w:sz w:val="24"/>
          <w:szCs w:val="24"/>
          <w:highlight w:val="none"/>
        </w:rPr>
      </w:pPr>
      <w:r>
        <w:rPr>
          <w:rFonts w:hint="eastAsia" w:asciiTheme="majorEastAsia" w:hAnsiTheme="majorEastAsia" w:eastAsiaTheme="majorEastAsia"/>
          <w:b/>
          <w:sz w:val="24"/>
          <w:szCs w:val="24"/>
          <w:highlight w:val="none"/>
        </w:rPr>
        <w:t>5、 废 标</w:t>
      </w:r>
    </w:p>
    <w:p>
      <w:pPr>
        <w:spacing w:line="400" w:lineRule="exact"/>
        <w:ind w:firstLine="480" w:firstLineChars="200"/>
        <w:rPr>
          <w:rFonts w:asciiTheme="majorEastAsia" w:hAnsiTheme="majorEastAsia" w:eastAsiaTheme="majorEastAsia"/>
          <w:sz w:val="24"/>
          <w:szCs w:val="24"/>
          <w:highlight w:val="none"/>
        </w:rPr>
      </w:pPr>
      <w:r>
        <w:rPr>
          <w:rFonts w:hint="eastAsia" w:asciiTheme="majorEastAsia" w:hAnsiTheme="majorEastAsia" w:eastAsiaTheme="majorEastAsia"/>
          <w:sz w:val="24"/>
          <w:szCs w:val="24"/>
          <w:highlight w:val="none"/>
        </w:rPr>
        <w:t>5.1本次政府采购活动中，出现下列情形之一的，予以废标：</w:t>
      </w:r>
    </w:p>
    <w:p>
      <w:pPr>
        <w:spacing w:line="400" w:lineRule="exact"/>
        <w:ind w:firstLine="480" w:firstLineChars="200"/>
        <w:rPr>
          <w:rFonts w:asciiTheme="majorEastAsia" w:hAnsiTheme="majorEastAsia" w:eastAsiaTheme="majorEastAsia"/>
          <w:sz w:val="24"/>
          <w:szCs w:val="24"/>
          <w:highlight w:val="none"/>
        </w:rPr>
      </w:pPr>
      <w:r>
        <w:rPr>
          <w:rFonts w:hint="eastAsia" w:asciiTheme="majorEastAsia" w:hAnsiTheme="majorEastAsia" w:eastAsiaTheme="majorEastAsia"/>
          <w:sz w:val="24"/>
          <w:highlight w:val="none"/>
        </w:rPr>
        <w:t>(1)</w:t>
      </w:r>
      <w:r>
        <w:rPr>
          <w:rFonts w:hint="eastAsia" w:asciiTheme="majorEastAsia" w:hAnsiTheme="majorEastAsia" w:eastAsiaTheme="majorEastAsia"/>
          <w:sz w:val="24"/>
          <w:szCs w:val="24"/>
          <w:highlight w:val="none"/>
        </w:rPr>
        <w:t>符合专业条件的供应商或者对招标文件作实质响应的供应商不足三家的；</w:t>
      </w:r>
    </w:p>
    <w:p>
      <w:pPr>
        <w:spacing w:line="400" w:lineRule="exact"/>
        <w:ind w:firstLine="480" w:firstLineChars="200"/>
        <w:rPr>
          <w:rFonts w:asciiTheme="majorEastAsia" w:hAnsiTheme="majorEastAsia" w:eastAsiaTheme="majorEastAsia"/>
          <w:sz w:val="24"/>
          <w:szCs w:val="24"/>
          <w:highlight w:val="none"/>
        </w:rPr>
      </w:pPr>
      <w:r>
        <w:rPr>
          <w:rFonts w:hint="eastAsia" w:asciiTheme="majorEastAsia" w:hAnsiTheme="majorEastAsia" w:eastAsiaTheme="majorEastAsia"/>
          <w:sz w:val="24"/>
          <w:highlight w:val="none"/>
        </w:rPr>
        <w:t>(2)</w:t>
      </w:r>
      <w:r>
        <w:rPr>
          <w:rFonts w:hint="eastAsia" w:asciiTheme="majorEastAsia" w:hAnsiTheme="majorEastAsia" w:eastAsiaTheme="majorEastAsia"/>
          <w:sz w:val="24"/>
          <w:szCs w:val="24"/>
          <w:highlight w:val="none"/>
        </w:rPr>
        <w:t>出现影响采购公正的违法、违规行为的；</w:t>
      </w:r>
    </w:p>
    <w:p>
      <w:pPr>
        <w:spacing w:line="400" w:lineRule="exact"/>
        <w:ind w:firstLine="480" w:firstLineChars="200"/>
        <w:rPr>
          <w:rFonts w:asciiTheme="majorEastAsia" w:hAnsiTheme="majorEastAsia" w:eastAsiaTheme="majorEastAsia"/>
          <w:sz w:val="24"/>
          <w:szCs w:val="24"/>
          <w:highlight w:val="none"/>
        </w:rPr>
      </w:pPr>
      <w:r>
        <w:rPr>
          <w:rFonts w:hint="eastAsia" w:asciiTheme="majorEastAsia" w:hAnsiTheme="majorEastAsia" w:eastAsiaTheme="majorEastAsia"/>
          <w:sz w:val="24"/>
          <w:highlight w:val="none"/>
        </w:rPr>
        <w:t>(3)</w:t>
      </w:r>
      <w:r>
        <w:rPr>
          <w:rFonts w:hint="eastAsia" w:asciiTheme="majorEastAsia" w:hAnsiTheme="majorEastAsia" w:eastAsiaTheme="majorEastAsia"/>
          <w:sz w:val="24"/>
          <w:szCs w:val="24"/>
          <w:highlight w:val="none"/>
        </w:rPr>
        <w:t>投标人的报价均超过了采购预算或限价，采购人不能支付的；</w:t>
      </w:r>
    </w:p>
    <w:p>
      <w:pPr>
        <w:spacing w:line="400" w:lineRule="exact"/>
        <w:ind w:firstLine="480" w:firstLineChars="200"/>
        <w:rPr>
          <w:rFonts w:asciiTheme="majorEastAsia" w:hAnsiTheme="majorEastAsia" w:eastAsiaTheme="majorEastAsia"/>
          <w:sz w:val="24"/>
          <w:szCs w:val="24"/>
          <w:highlight w:val="none"/>
        </w:rPr>
      </w:pPr>
      <w:r>
        <w:rPr>
          <w:rFonts w:hint="eastAsia" w:asciiTheme="majorEastAsia" w:hAnsiTheme="majorEastAsia" w:eastAsiaTheme="majorEastAsia"/>
          <w:sz w:val="24"/>
          <w:highlight w:val="none"/>
        </w:rPr>
        <w:t>(4)</w:t>
      </w:r>
      <w:r>
        <w:rPr>
          <w:rFonts w:hint="eastAsia" w:asciiTheme="majorEastAsia" w:hAnsiTheme="majorEastAsia" w:eastAsiaTheme="majorEastAsia"/>
          <w:sz w:val="24"/>
          <w:szCs w:val="24"/>
          <w:highlight w:val="none"/>
        </w:rPr>
        <w:t>因重大变故，采购任务取消的。</w:t>
      </w:r>
    </w:p>
    <w:p>
      <w:pPr>
        <w:spacing w:line="400" w:lineRule="exact"/>
        <w:ind w:firstLine="482" w:firstLineChars="200"/>
        <w:rPr>
          <w:rFonts w:asciiTheme="majorEastAsia" w:hAnsiTheme="majorEastAsia" w:eastAsiaTheme="majorEastAsia"/>
          <w:b/>
          <w:sz w:val="24"/>
          <w:szCs w:val="24"/>
          <w:highlight w:val="none"/>
        </w:rPr>
      </w:pPr>
      <w:r>
        <w:rPr>
          <w:rFonts w:hint="eastAsia" w:asciiTheme="majorEastAsia" w:hAnsiTheme="majorEastAsia" w:eastAsiaTheme="majorEastAsia"/>
          <w:b/>
          <w:sz w:val="24"/>
          <w:szCs w:val="24"/>
          <w:highlight w:val="none"/>
        </w:rPr>
        <w:t>5.2对于评标过程中废标的采购项目，评标委员会应当对招标文件是否存在倾向性和歧视性、是否存在不合理条款进行论证，并出具书面论证意见（格式另行提供）。</w:t>
      </w:r>
    </w:p>
    <w:p>
      <w:pPr>
        <w:spacing w:line="400" w:lineRule="exact"/>
        <w:ind w:firstLine="482" w:firstLineChars="200"/>
        <w:rPr>
          <w:rFonts w:asciiTheme="majorEastAsia" w:hAnsiTheme="majorEastAsia" w:eastAsiaTheme="majorEastAsia"/>
          <w:b/>
          <w:sz w:val="24"/>
          <w:szCs w:val="24"/>
          <w:highlight w:val="none"/>
        </w:rPr>
      </w:pPr>
      <w:r>
        <w:rPr>
          <w:rFonts w:hint="eastAsia" w:asciiTheme="majorEastAsia" w:hAnsiTheme="majorEastAsia" w:eastAsiaTheme="majorEastAsia"/>
          <w:b/>
          <w:sz w:val="24"/>
          <w:szCs w:val="24"/>
          <w:highlight w:val="none"/>
        </w:rPr>
        <w:t>6、定标</w:t>
      </w:r>
      <w:bookmarkEnd w:id="52"/>
      <w:bookmarkStart w:id="53" w:name="_Toc217446061"/>
    </w:p>
    <w:p>
      <w:pPr>
        <w:spacing w:line="400" w:lineRule="exact"/>
        <w:ind w:firstLine="480" w:firstLineChars="200"/>
        <w:rPr>
          <w:rFonts w:asciiTheme="majorEastAsia" w:hAnsiTheme="majorEastAsia" w:eastAsiaTheme="majorEastAsia"/>
          <w:sz w:val="24"/>
          <w:szCs w:val="24"/>
          <w:highlight w:val="none"/>
        </w:rPr>
      </w:pPr>
      <w:r>
        <w:rPr>
          <w:rFonts w:hint="eastAsia" w:asciiTheme="majorEastAsia" w:hAnsiTheme="majorEastAsia" w:eastAsiaTheme="majorEastAsia"/>
          <w:sz w:val="24"/>
          <w:highlight w:val="none"/>
        </w:rPr>
        <w:t>6.1</w:t>
      </w:r>
      <w:r>
        <w:rPr>
          <w:rFonts w:hint="eastAsia" w:asciiTheme="majorEastAsia" w:hAnsiTheme="majorEastAsia" w:eastAsiaTheme="majorEastAsia"/>
          <w:sz w:val="24"/>
          <w:szCs w:val="24"/>
          <w:highlight w:val="none"/>
        </w:rPr>
        <w:t xml:space="preserve"> 定标原则</w:t>
      </w:r>
      <w:bookmarkEnd w:id="53"/>
      <w:r>
        <w:rPr>
          <w:rFonts w:hint="eastAsia" w:asciiTheme="majorEastAsia" w:hAnsiTheme="majorEastAsia" w:eastAsiaTheme="majorEastAsia"/>
          <w:sz w:val="24"/>
          <w:szCs w:val="24"/>
          <w:highlight w:val="none"/>
        </w:rPr>
        <w:t>：本项目根据评标委员会推荐的中标候选供应商名单，按顺序确定中标供应商。</w:t>
      </w:r>
    </w:p>
    <w:p>
      <w:pPr>
        <w:spacing w:line="400" w:lineRule="exact"/>
        <w:ind w:firstLine="480" w:firstLineChars="200"/>
        <w:rPr>
          <w:rFonts w:asciiTheme="majorEastAsia" w:hAnsiTheme="majorEastAsia" w:eastAsiaTheme="majorEastAsia"/>
          <w:sz w:val="24"/>
          <w:szCs w:val="24"/>
          <w:highlight w:val="none"/>
        </w:rPr>
      </w:pPr>
      <w:bookmarkStart w:id="54" w:name="_Toc217446062"/>
      <w:r>
        <w:rPr>
          <w:rFonts w:hint="eastAsia" w:asciiTheme="majorEastAsia" w:hAnsiTheme="majorEastAsia" w:eastAsiaTheme="majorEastAsia"/>
          <w:sz w:val="24"/>
          <w:highlight w:val="none"/>
        </w:rPr>
        <w:t>6.2</w:t>
      </w:r>
      <w:r>
        <w:rPr>
          <w:rFonts w:hint="eastAsia" w:asciiTheme="majorEastAsia" w:hAnsiTheme="majorEastAsia" w:eastAsiaTheme="majorEastAsia"/>
          <w:sz w:val="24"/>
          <w:szCs w:val="24"/>
          <w:highlight w:val="none"/>
        </w:rPr>
        <w:t xml:space="preserve"> 定标程序</w:t>
      </w:r>
      <w:bookmarkEnd w:id="54"/>
    </w:p>
    <w:p>
      <w:pPr>
        <w:spacing w:line="400" w:lineRule="exact"/>
        <w:ind w:firstLine="480" w:firstLineChars="200"/>
        <w:rPr>
          <w:rFonts w:asciiTheme="majorEastAsia" w:hAnsiTheme="majorEastAsia" w:eastAsiaTheme="majorEastAsia"/>
          <w:sz w:val="24"/>
          <w:szCs w:val="24"/>
          <w:highlight w:val="none"/>
        </w:rPr>
      </w:pPr>
      <w:r>
        <w:rPr>
          <w:rFonts w:hint="eastAsia" w:asciiTheme="majorEastAsia" w:hAnsiTheme="majorEastAsia" w:eastAsiaTheme="majorEastAsia"/>
          <w:sz w:val="24"/>
          <w:szCs w:val="24"/>
          <w:highlight w:val="none"/>
        </w:rPr>
        <w:t>6.2.1 评标委员会将评标情况写出书面报告，推荐中标候选供应商。</w:t>
      </w:r>
    </w:p>
    <w:p>
      <w:pPr>
        <w:spacing w:line="400" w:lineRule="exact"/>
        <w:ind w:firstLine="480" w:firstLineChars="200"/>
        <w:rPr>
          <w:rFonts w:asciiTheme="majorEastAsia" w:hAnsiTheme="majorEastAsia" w:eastAsiaTheme="majorEastAsia"/>
          <w:sz w:val="24"/>
          <w:szCs w:val="24"/>
          <w:highlight w:val="none"/>
        </w:rPr>
      </w:pPr>
      <w:r>
        <w:rPr>
          <w:rFonts w:hint="eastAsia" w:asciiTheme="majorEastAsia" w:hAnsiTheme="majorEastAsia" w:eastAsiaTheme="majorEastAsia"/>
          <w:sz w:val="24"/>
          <w:szCs w:val="24"/>
          <w:highlight w:val="none"/>
        </w:rPr>
        <w:t>6.2.2 采购代理机构在评标结束后2个工作日内将评标报告送采购人。</w:t>
      </w:r>
    </w:p>
    <w:p>
      <w:pPr>
        <w:spacing w:line="400" w:lineRule="exact"/>
        <w:ind w:firstLine="480" w:firstLineChars="200"/>
        <w:rPr>
          <w:rFonts w:asciiTheme="majorEastAsia" w:hAnsiTheme="majorEastAsia" w:eastAsiaTheme="majorEastAsia"/>
          <w:sz w:val="24"/>
          <w:szCs w:val="24"/>
          <w:highlight w:val="none"/>
        </w:rPr>
      </w:pPr>
      <w:r>
        <w:rPr>
          <w:rFonts w:hint="eastAsia" w:asciiTheme="majorEastAsia" w:hAnsiTheme="majorEastAsia" w:eastAsiaTheme="majorEastAsia"/>
          <w:sz w:val="24"/>
          <w:szCs w:val="24"/>
          <w:highlight w:val="none"/>
        </w:rPr>
        <w:t>6.2.3 采购人在收到评标报告后5个工作日内，按照评标报告中推荐的中标候选供应商顺序确定中标供应商，并书面告知采购代理机构。</w:t>
      </w:r>
    </w:p>
    <w:p>
      <w:pPr>
        <w:spacing w:line="400" w:lineRule="exact"/>
        <w:ind w:firstLine="480" w:firstLineChars="200"/>
        <w:rPr>
          <w:rFonts w:asciiTheme="majorEastAsia" w:hAnsiTheme="majorEastAsia" w:eastAsiaTheme="majorEastAsia"/>
          <w:sz w:val="24"/>
          <w:szCs w:val="24"/>
          <w:highlight w:val="none"/>
        </w:rPr>
      </w:pPr>
      <w:r>
        <w:rPr>
          <w:rFonts w:hint="eastAsia" w:asciiTheme="majorEastAsia" w:hAnsiTheme="majorEastAsia" w:eastAsiaTheme="majorEastAsia"/>
          <w:sz w:val="24"/>
          <w:szCs w:val="24"/>
          <w:highlight w:val="none"/>
        </w:rPr>
        <w:t>6.2.4 根据采购人确定的中标供应商，采购代理机构发布中标公告，同时采购人向中标人发出中标通知书。</w:t>
      </w:r>
    </w:p>
    <w:p>
      <w:pPr>
        <w:spacing w:line="400" w:lineRule="exact"/>
        <w:ind w:firstLine="480" w:firstLineChars="200"/>
        <w:rPr>
          <w:rFonts w:asciiTheme="majorEastAsia" w:hAnsiTheme="majorEastAsia" w:eastAsiaTheme="majorEastAsia"/>
          <w:sz w:val="24"/>
          <w:szCs w:val="24"/>
          <w:highlight w:val="none"/>
        </w:rPr>
      </w:pPr>
      <w:r>
        <w:rPr>
          <w:rFonts w:hint="eastAsia" w:asciiTheme="majorEastAsia" w:hAnsiTheme="majorEastAsia" w:eastAsiaTheme="majorEastAsia"/>
          <w:sz w:val="24"/>
          <w:szCs w:val="24"/>
          <w:highlight w:val="none"/>
        </w:rPr>
        <w:t>6.2.5 采购人、采购代理机构不退回投标人投标文件和其他投标资料。</w:t>
      </w:r>
    </w:p>
    <w:bookmarkEnd w:id="51"/>
    <w:p>
      <w:pPr>
        <w:spacing w:line="400" w:lineRule="exact"/>
        <w:ind w:firstLine="472" w:firstLineChars="196"/>
        <w:rPr>
          <w:rFonts w:asciiTheme="majorEastAsia" w:hAnsiTheme="majorEastAsia" w:eastAsiaTheme="majorEastAsia"/>
          <w:b/>
          <w:bCs/>
          <w:sz w:val="24"/>
          <w:szCs w:val="24"/>
          <w:highlight w:val="none"/>
        </w:rPr>
      </w:pPr>
      <w:bookmarkStart w:id="55" w:name="_Toc183682432"/>
      <w:bookmarkStart w:id="56" w:name="_Toc183582297"/>
      <w:bookmarkStart w:id="57" w:name="_Toc217446105"/>
      <w:bookmarkStart w:id="58" w:name="_Toc208849022"/>
      <w:r>
        <w:rPr>
          <w:rFonts w:hint="eastAsia" w:asciiTheme="majorEastAsia" w:hAnsiTheme="majorEastAsia" w:eastAsiaTheme="majorEastAsia"/>
          <w:b/>
          <w:bCs/>
          <w:sz w:val="24"/>
          <w:szCs w:val="24"/>
          <w:highlight w:val="none"/>
        </w:rPr>
        <w:t xml:space="preserve">7. </w:t>
      </w:r>
      <w:bookmarkEnd w:id="55"/>
      <w:bookmarkEnd w:id="56"/>
      <w:bookmarkEnd w:id="57"/>
      <w:bookmarkEnd w:id="58"/>
      <w:r>
        <w:rPr>
          <w:rFonts w:hint="eastAsia" w:asciiTheme="majorEastAsia" w:hAnsiTheme="majorEastAsia" w:eastAsiaTheme="majorEastAsia"/>
          <w:b/>
          <w:sz w:val="24"/>
          <w:szCs w:val="24"/>
          <w:highlight w:val="none"/>
        </w:rPr>
        <w:t>评标专家在政府采购活动中承担以下义务：</w:t>
      </w:r>
    </w:p>
    <w:p>
      <w:pPr>
        <w:spacing w:line="400" w:lineRule="exact"/>
        <w:ind w:firstLine="480" w:firstLineChars="200"/>
        <w:rPr>
          <w:rFonts w:asciiTheme="majorEastAsia" w:hAnsiTheme="majorEastAsia" w:eastAsiaTheme="majorEastAsia"/>
          <w:sz w:val="24"/>
          <w:szCs w:val="24"/>
          <w:highlight w:val="none"/>
        </w:rPr>
      </w:pPr>
      <w:r>
        <w:rPr>
          <w:rFonts w:hint="eastAsia" w:asciiTheme="majorEastAsia" w:hAnsiTheme="majorEastAsia" w:eastAsiaTheme="majorEastAsia"/>
          <w:sz w:val="24"/>
          <w:highlight w:val="none"/>
        </w:rPr>
        <w:t>(1)</w:t>
      </w:r>
      <w:r>
        <w:rPr>
          <w:rFonts w:hint="eastAsia" w:asciiTheme="majorEastAsia" w:hAnsiTheme="majorEastAsia" w:eastAsiaTheme="majorEastAsia"/>
          <w:sz w:val="24"/>
          <w:szCs w:val="24"/>
          <w:highlight w:val="none"/>
        </w:rPr>
        <w:t xml:space="preserve">遵守评审工作纪律； </w:t>
      </w:r>
    </w:p>
    <w:p>
      <w:pPr>
        <w:spacing w:line="400" w:lineRule="exact"/>
        <w:ind w:firstLine="480" w:firstLineChars="200"/>
        <w:rPr>
          <w:rFonts w:asciiTheme="majorEastAsia" w:hAnsiTheme="majorEastAsia" w:eastAsiaTheme="majorEastAsia"/>
          <w:sz w:val="24"/>
          <w:szCs w:val="24"/>
          <w:highlight w:val="none"/>
        </w:rPr>
      </w:pPr>
      <w:r>
        <w:rPr>
          <w:rFonts w:hint="eastAsia" w:asciiTheme="majorEastAsia" w:hAnsiTheme="majorEastAsia" w:eastAsiaTheme="majorEastAsia"/>
          <w:sz w:val="24"/>
          <w:highlight w:val="none"/>
        </w:rPr>
        <w:t>(2)</w:t>
      </w:r>
      <w:r>
        <w:rPr>
          <w:rFonts w:hint="eastAsia" w:asciiTheme="majorEastAsia" w:hAnsiTheme="majorEastAsia" w:eastAsiaTheme="majorEastAsia"/>
          <w:sz w:val="24"/>
          <w:szCs w:val="24"/>
          <w:highlight w:val="none"/>
        </w:rPr>
        <w:t>按照客观、公正、审慎的原则，根据采购文件规定的评审程序、评审方法和评审标准进行独立评审；</w:t>
      </w:r>
    </w:p>
    <w:p>
      <w:pPr>
        <w:spacing w:line="400" w:lineRule="exact"/>
        <w:ind w:firstLine="480" w:firstLineChars="200"/>
        <w:rPr>
          <w:rFonts w:asciiTheme="majorEastAsia" w:hAnsiTheme="majorEastAsia" w:eastAsiaTheme="majorEastAsia"/>
          <w:sz w:val="24"/>
          <w:szCs w:val="24"/>
          <w:highlight w:val="none"/>
        </w:rPr>
      </w:pPr>
      <w:r>
        <w:rPr>
          <w:rFonts w:hint="eastAsia" w:asciiTheme="majorEastAsia" w:hAnsiTheme="majorEastAsia" w:eastAsiaTheme="majorEastAsia"/>
          <w:sz w:val="24"/>
          <w:highlight w:val="none"/>
        </w:rPr>
        <w:t>(3)</w:t>
      </w:r>
      <w:r>
        <w:rPr>
          <w:rFonts w:hint="eastAsia" w:asciiTheme="majorEastAsia" w:hAnsiTheme="majorEastAsia" w:eastAsiaTheme="majorEastAsia"/>
          <w:sz w:val="24"/>
          <w:szCs w:val="24"/>
          <w:highlight w:val="none"/>
        </w:rPr>
        <w:t>不得泄露评审文件、评审情况和在评审过程中获悉的商业秘密；</w:t>
      </w:r>
    </w:p>
    <w:p>
      <w:pPr>
        <w:spacing w:line="400" w:lineRule="exact"/>
        <w:ind w:firstLine="480" w:firstLineChars="200"/>
        <w:rPr>
          <w:rFonts w:asciiTheme="majorEastAsia" w:hAnsiTheme="majorEastAsia" w:eastAsiaTheme="majorEastAsia"/>
          <w:sz w:val="24"/>
          <w:szCs w:val="24"/>
          <w:highlight w:val="none"/>
        </w:rPr>
      </w:pPr>
      <w:r>
        <w:rPr>
          <w:rFonts w:hint="eastAsia" w:asciiTheme="majorEastAsia" w:hAnsiTheme="majorEastAsia" w:eastAsiaTheme="majorEastAsia"/>
          <w:sz w:val="24"/>
          <w:highlight w:val="none"/>
        </w:rPr>
        <w:t>(4)</w:t>
      </w:r>
      <w:r>
        <w:rPr>
          <w:rFonts w:hint="eastAsia" w:asciiTheme="majorEastAsia" w:hAnsiTheme="majorEastAsia" w:eastAsiaTheme="majorEastAsia"/>
          <w:sz w:val="24"/>
          <w:szCs w:val="24"/>
          <w:highlight w:val="none"/>
        </w:rPr>
        <w:t>及时向监督部门报告评审过程中采购组织单位向评审专家做倾向性、误导性的解释或者说明，供应商行贿、提供虚假材料或者串通、受到的非法干预情况等违法违规行为；</w:t>
      </w:r>
    </w:p>
    <w:p>
      <w:pPr>
        <w:spacing w:line="400" w:lineRule="exact"/>
        <w:ind w:firstLine="480" w:firstLineChars="200"/>
        <w:rPr>
          <w:rFonts w:asciiTheme="majorEastAsia" w:hAnsiTheme="majorEastAsia" w:eastAsiaTheme="majorEastAsia"/>
          <w:sz w:val="24"/>
          <w:szCs w:val="24"/>
          <w:highlight w:val="none"/>
        </w:rPr>
      </w:pPr>
      <w:r>
        <w:rPr>
          <w:rFonts w:hint="eastAsia" w:asciiTheme="majorEastAsia" w:hAnsiTheme="majorEastAsia" w:eastAsiaTheme="majorEastAsia"/>
          <w:sz w:val="24"/>
          <w:highlight w:val="none"/>
        </w:rPr>
        <w:t>(5)</w:t>
      </w:r>
      <w:r>
        <w:rPr>
          <w:rFonts w:hint="eastAsia" w:asciiTheme="majorEastAsia" w:hAnsiTheme="majorEastAsia" w:eastAsiaTheme="majorEastAsia"/>
          <w:sz w:val="24"/>
          <w:szCs w:val="24"/>
          <w:highlight w:val="none"/>
        </w:rPr>
        <w:t>发现采购文件内容违反国家有关强制性规定或者存在歧义、重大缺陷导致评审工作无法进行时，停止评审并向采购组织单位书面说明情况；</w:t>
      </w:r>
    </w:p>
    <w:p>
      <w:pPr>
        <w:spacing w:line="400" w:lineRule="exact"/>
        <w:ind w:firstLine="480" w:firstLineChars="200"/>
        <w:rPr>
          <w:rFonts w:asciiTheme="majorEastAsia" w:hAnsiTheme="majorEastAsia" w:eastAsiaTheme="majorEastAsia"/>
          <w:sz w:val="24"/>
          <w:szCs w:val="24"/>
          <w:highlight w:val="none"/>
        </w:rPr>
      </w:pPr>
      <w:r>
        <w:rPr>
          <w:rFonts w:hint="eastAsia" w:asciiTheme="majorEastAsia" w:hAnsiTheme="majorEastAsia" w:eastAsiaTheme="majorEastAsia"/>
          <w:sz w:val="24"/>
          <w:highlight w:val="none"/>
        </w:rPr>
        <w:t>(6)</w:t>
      </w:r>
      <w:r>
        <w:rPr>
          <w:rFonts w:hint="eastAsia" w:asciiTheme="majorEastAsia" w:hAnsiTheme="majorEastAsia" w:eastAsiaTheme="majorEastAsia"/>
          <w:sz w:val="24"/>
          <w:szCs w:val="24"/>
          <w:highlight w:val="none"/>
        </w:rPr>
        <w:t>配合答复处理供应商的询问、质疑和投诉等事项；</w:t>
      </w:r>
    </w:p>
    <w:p>
      <w:pPr>
        <w:spacing w:line="400" w:lineRule="exact"/>
        <w:ind w:firstLine="480" w:firstLineChars="200"/>
        <w:rPr>
          <w:rFonts w:asciiTheme="majorEastAsia" w:hAnsiTheme="majorEastAsia" w:eastAsiaTheme="majorEastAsia"/>
          <w:sz w:val="24"/>
          <w:szCs w:val="24"/>
          <w:highlight w:val="none"/>
        </w:rPr>
      </w:pPr>
      <w:r>
        <w:rPr>
          <w:rFonts w:hint="eastAsia" w:asciiTheme="majorEastAsia" w:hAnsiTheme="majorEastAsia" w:eastAsiaTheme="majorEastAsia"/>
          <w:sz w:val="24"/>
          <w:highlight w:val="none"/>
        </w:rPr>
        <w:t>(7)</w:t>
      </w:r>
      <w:r>
        <w:rPr>
          <w:rFonts w:hint="eastAsia" w:asciiTheme="majorEastAsia" w:hAnsiTheme="majorEastAsia" w:eastAsiaTheme="majorEastAsia"/>
          <w:sz w:val="24"/>
          <w:szCs w:val="24"/>
          <w:highlight w:val="none"/>
        </w:rPr>
        <w:t>法律、法规和规章规定的其他义务。</w:t>
      </w:r>
    </w:p>
    <w:p>
      <w:pPr>
        <w:spacing w:line="400" w:lineRule="exact"/>
        <w:ind w:firstLine="482" w:firstLineChars="200"/>
        <w:rPr>
          <w:rFonts w:asciiTheme="majorEastAsia" w:hAnsiTheme="majorEastAsia" w:eastAsiaTheme="majorEastAsia"/>
          <w:b/>
          <w:bCs/>
          <w:sz w:val="24"/>
          <w:szCs w:val="24"/>
          <w:highlight w:val="none"/>
        </w:rPr>
      </w:pPr>
      <w:r>
        <w:rPr>
          <w:rFonts w:hint="eastAsia" w:asciiTheme="majorEastAsia" w:hAnsiTheme="majorEastAsia" w:eastAsiaTheme="majorEastAsia"/>
          <w:b/>
          <w:bCs/>
          <w:sz w:val="24"/>
          <w:szCs w:val="24"/>
          <w:highlight w:val="none"/>
        </w:rPr>
        <w:t>8.评标专家在政府采购活动中应当遵守以下工作纪律：</w:t>
      </w:r>
    </w:p>
    <w:p>
      <w:pPr>
        <w:spacing w:line="400" w:lineRule="exact"/>
        <w:ind w:firstLine="480" w:firstLineChars="200"/>
        <w:rPr>
          <w:rFonts w:asciiTheme="majorEastAsia" w:hAnsiTheme="majorEastAsia" w:eastAsiaTheme="majorEastAsia"/>
          <w:sz w:val="24"/>
          <w:szCs w:val="24"/>
          <w:highlight w:val="none"/>
        </w:rPr>
      </w:pPr>
      <w:r>
        <w:rPr>
          <w:rFonts w:hint="eastAsia" w:asciiTheme="majorEastAsia" w:hAnsiTheme="majorEastAsia" w:eastAsiaTheme="majorEastAsia"/>
          <w:sz w:val="24"/>
          <w:highlight w:val="none"/>
        </w:rPr>
        <w:t>(1)</w:t>
      </w:r>
      <w:r>
        <w:rPr>
          <w:rFonts w:hint="eastAsia" w:asciiTheme="majorEastAsia" w:hAnsiTheme="majorEastAsia" w:eastAsiaTheme="majorEastAsia"/>
          <w:sz w:val="24"/>
          <w:szCs w:val="24"/>
          <w:highlight w:val="none"/>
        </w:rPr>
        <w:t>遵行《中华人民共和国政府采购法》第十二条和《中华人民共和国政府采购法实施条例》第九条及财政部关于回避的规定。</w:t>
      </w:r>
    </w:p>
    <w:p>
      <w:pPr>
        <w:spacing w:line="400" w:lineRule="exact"/>
        <w:ind w:firstLine="480" w:firstLineChars="200"/>
        <w:rPr>
          <w:rFonts w:asciiTheme="majorEastAsia" w:hAnsiTheme="majorEastAsia" w:eastAsiaTheme="majorEastAsia"/>
          <w:sz w:val="24"/>
          <w:szCs w:val="24"/>
          <w:highlight w:val="none"/>
        </w:rPr>
      </w:pPr>
      <w:r>
        <w:rPr>
          <w:rFonts w:hint="eastAsia" w:asciiTheme="majorEastAsia" w:hAnsiTheme="majorEastAsia" w:eastAsiaTheme="majorEastAsia"/>
          <w:sz w:val="24"/>
          <w:highlight w:val="none"/>
        </w:rPr>
        <w:t>(2)</w:t>
      </w:r>
      <w:r>
        <w:rPr>
          <w:rFonts w:hint="eastAsia" w:asciiTheme="majorEastAsia" w:hAnsiTheme="majorEastAsia" w:eastAsiaTheme="majorEastAsia"/>
          <w:sz w:val="24"/>
          <w:szCs w:val="24"/>
          <w:highlight w:val="none"/>
        </w:rPr>
        <w:t>评标前，应当将通讯工具或者相关电子设备交由</w:t>
      </w:r>
      <w:r>
        <w:rPr>
          <w:rFonts w:hint="eastAsia" w:asciiTheme="majorEastAsia" w:hAnsiTheme="majorEastAsia" w:eastAsiaTheme="majorEastAsia"/>
          <w:sz w:val="24"/>
          <w:highlight w:val="none"/>
        </w:rPr>
        <w:t>采购人、采购代理机构</w:t>
      </w:r>
      <w:r>
        <w:rPr>
          <w:rFonts w:hint="eastAsia" w:asciiTheme="majorEastAsia" w:hAnsiTheme="majorEastAsia" w:eastAsiaTheme="majorEastAsia"/>
          <w:sz w:val="24"/>
          <w:szCs w:val="24"/>
          <w:highlight w:val="none"/>
        </w:rPr>
        <w:t>统一保管。</w:t>
      </w:r>
    </w:p>
    <w:p>
      <w:pPr>
        <w:spacing w:line="400" w:lineRule="exact"/>
        <w:ind w:firstLine="480" w:firstLineChars="200"/>
        <w:rPr>
          <w:rFonts w:asciiTheme="majorEastAsia" w:hAnsiTheme="majorEastAsia" w:eastAsiaTheme="majorEastAsia"/>
          <w:sz w:val="24"/>
          <w:szCs w:val="24"/>
          <w:highlight w:val="none"/>
        </w:rPr>
      </w:pPr>
      <w:r>
        <w:rPr>
          <w:rFonts w:hint="eastAsia" w:asciiTheme="majorEastAsia" w:hAnsiTheme="majorEastAsia" w:eastAsiaTheme="majorEastAsia"/>
          <w:sz w:val="24"/>
          <w:highlight w:val="none"/>
        </w:rPr>
        <w:t>(3)</w:t>
      </w:r>
      <w:r>
        <w:rPr>
          <w:rFonts w:hint="eastAsia" w:asciiTheme="majorEastAsia" w:hAnsiTheme="majorEastAsia" w:eastAsiaTheme="majorEastAsia"/>
          <w:sz w:val="24"/>
          <w:szCs w:val="24"/>
          <w:highlight w:val="none"/>
        </w:rPr>
        <w:t>评标过程中，不得与外界联系，因发生不可预见情况，确实需要与外界联系的，应当在监督人员监督之下办理。</w:t>
      </w:r>
    </w:p>
    <w:p>
      <w:pPr>
        <w:spacing w:line="400" w:lineRule="exact"/>
        <w:ind w:firstLine="480" w:firstLineChars="200"/>
        <w:rPr>
          <w:rFonts w:asciiTheme="majorEastAsia" w:hAnsiTheme="majorEastAsia" w:eastAsiaTheme="majorEastAsia"/>
          <w:sz w:val="24"/>
          <w:szCs w:val="24"/>
          <w:highlight w:val="none"/>
        </w:rPr>
      </w:pPr>
      <w:r>
        <w:rPr>
          <w:rFonts w:hint="eastAsia" w:asciiTheme="majorEastAsia" w:hAnsiTheme="majorEastAsia" w:eastAsiaTheme="majorEastAsia"/>
          <w:sz w:val="24"/>
          <w:highlight w:val="none"/>
        </w:rPr>
        <w:t>(4)</w:t>
      </w:r>
      <w:r>
        <w:rPr>
          <w:rFonts w:hint="eastAsia" w:asciiTheme="majorEastAsia" w:hAnsiTheme="majorEastAsia" w:eastAsiaTheme="majorEastAsia"/>
          <w:sz w:val="24"/>
          <w:szCs w:val="24"/>
          <w:highlight w:val="none"/>
        </w:rPr>
        <w:t>评标过程中，不得干预或者影响正常评标工作，不得发表倾向性、引导性意见，不得修改或细化招标文件确定的评标程序、评标方法、评标因素和评标标准，不得接受供应商主动提出的澄清和解释，不得征询采购人代表的意见，不得协商评分，不得违反规定的评标格式评分和撰写评标意见，不得拒绝对自己的评标意见签字确认。</w:t>
      </w:r>
    </w:p>
    <w:p>
      <w:pPr>
        <w:spacing w:line="400" w:lineRule="exact"/>
        <w:ind w:firstLine="480" w:firstLineChars="200"/>
        <w:rPr>
          <w:rFonts w:asciiTheme="majorEastAsia" w:hAnsiTheme="majorEastAsia" w:eastAsiaTheme="majorEastAsia"/>
          <w:sz w:val="24"/>
          <w:szCs w:val="24"/>
          <w:highlight w:val="none"/>
        </w:rPr>
      </w:pPr>
      <w:r>
        <w:rPr>
          <w:rFonts w:hint="eastAsia" w:asciiTheme="majorEastAsia" w:hAnsiTheme="majorEastAsia" w:eastAsiaTheme="majorEastAsia"/>
          <w:sz w:val="24"/>
          <w:highlight w:val="none"/>
        </w:rPr>
        <w:t>(5)</w:t>
      </w:r>
      <w:r>
        <w:rPr>
          <w:rFonts w:hint="eastAsia" w:asciiTheme="majorEastAsia" w:hAnsiTheme="majorEastAsia" w:eastAsiaTheme="majorEastAsia"/>
          <w:sz w:val="24"/>
          <w:szCs w:val="24"/>
          <w:highlight w:val="none"/>
        </w:rPr>
        <w:t>在评标过程中和评标结束后，不得记录、复制或带走任何评标资料，除因规定的义务外，不得向外界透露评标内容。</w:t>
      </w:r>
    </w:p>
    <w:p>
      <w:pPr>
        <w:spacing w:line="400" w:lineRule="exact"/>
        <w:ind w:firstLine="480" w:firstLineChars="200"/>
        <w:rPr>
          <w:rFonts w:asciiTheme="majorEastAsia" w:hAnsiTheme="majorEastAsia" w:eastAsiaTheme="majorEastAsia"/>
          <w:sz w:val="24"/>
          <w:szCs w:val="24"/>
          <w:highlight w:val="none"/>
        </w:rPr>
      </w:pPr>
      <w:r>
        <w:rPr>
          <w:rFonts w:hint="eastAsia" w:asciiTheme="majorEastAsia" w:hAnsiTheme="majorEastAsia" w:eastAsiaTheme="majorEastAsia"/>
          <w:sz w:val="24"/>
          <w:highlight w:val="none"/>
        </w:rPr>
        <w:t>(6)</w:t>
      </w:r>
      <w:r>
        <w:rPr>
          <w:rFonts w:hint="eastAsia" w:asciiTheme="majorEastAsia" w:hAnsiTheme="majorEastAsia" w:eastAsiaTheme="majorEastAsia"/>
          <w:sz w:val="24"/>
          <w:szCs w:val="24"/>
          <w:highlight w:val="none"/>
        </w:rPr>
        <w:t>服从评标现场</w:t>
      </w:r>
      <w:r>
        <w:rPr>
          <w:rFonts w:hint="eastAsia" w:asciiTheme="majorEastAsia" w:hAnsiTheme="majorEastAsia" w:eastAsiaTheme="majorEastAsia"/>
          <w:sz w:val="24"/>
          <w:highlight w:val="none"/>
        </w:rPr>
        <w:t>采购人、采购代理机构</w:t>
      </w:r>
      <w:r>
        <w:rPr>
          <w:rFonts w:hint="eastAsia" w:asciiTheme="majorEastAsia" w:hAnsiTheme="majorEastAsia" w:eastAsiaTheme="majorEastAsia"/>
          <w:sz w:val="24"/>
          <w:szCs w:val="24"/>
          <w:highlight w:val="none"/>
        </w:rPr>
        <w:t>的现场秩序管理，接受评标现场监督人员的合法监督。</w:t>
      </w:r>
    </w:p>
    <w:p>
      <w:pPr>
        <w:spacing w:line="400" w:lineRule="exact"/>
        <w:ind w:firstLine="480" w:firstLineChars="200"/>
        <w:rPr>
          <w:rFonts w:ascii="宋体" w:hAnsi="宋体"/>
          <w:sz w:val="24"/>
          <w:szCs w:val="24"/>
          <w:highlight w:val="none"/>
        </w:rPr>
      </w:pPr>
      <w:r>
        <w:rPr>
          <w:rFonts w:hint="eastAsia" w:asciiTheme="majorEastAsia" w:hAnsiTheme="majorEastAsia" w:eastAsiaTheme="majorEastAsia"/>
          <w:sz w:val="24"/>
          <w:highlight w:val="none"/>
        </w:rPr>
        <w:t>(7)</w:t>
      </w:r>
      <w:r>
        <w:rPr>
          <w:rFonts w:hint="eastAsia" w:asciiTheme="majorEastAsia" w:hAnsiTheme="majorEastAsia" w:eastAsiaTheme="majorEastAsia"/>
          <w:sz w:val="24"/>
          <w:szCs w:val="24"/>
          <w:highlight w:val="none"/>
        </w:rPr>
        <w:t>遵守有关廉洁自律规定，不得私下接触供应商，不得收受供应商及有关业务单位和个人的财物或好处，不得接受采购组织单位的请托。</w:t>
      </w:r>
    </w:p>
    <w:p>
      <w:pPr>
        <w:pStyle w:val="3"/>
        <w:pageBreakBefore/>
        <w:spacing w:before="0" w:after="0"/>
        <w:jc w:val="center"/>
        <w:rPr>
          <w:b/>
          <w:sz w:val="32"/>
          <w:szCs w:val="32"/>
          <w:highlight w:val="none"/>
        </w:rPr>
      </w:pPr>
      <w:bookmarkStart w:id="59" w:name="_Toc484268474"/>
      <w:bookmarkStart w:id="60" w:name="_Toc78978674"/>
      <w:r>
        <w:rPr>
          <w:rFonts w:hint="eastAsia" w:ascii="宋体" w:hAnsi="宋体"/>
          <w:highlight w:val="none"/>
        </w:rPr>
        <w:t>第六章  政府采购合同（样例）</w:t>
      </w:r>
      <w:bookmarkEnd w:id="59"/>
      <w:bookmarkEnd w:id="60"/>
    </w:p>
    <w:p>
      <w:pPr>
        <w:jc w:val="center"/>
        <w:rPr>
          <w:color w:val="000080"/>
          <w:sz w:val="20"/>
          <w:highlight w:val="none"/>
        </w:rPr>
      </w:pPr>
      <w:r>
        <w:rPr>
          <w:rFonts w:hint="eastAsia"/>
          <w:b/>
          <w:sz w:val="32"/>
          <w:szCs w:val="32"/>
          <w:highlight w:val="none"/>
        </w:rPr>
        <w:t>（服务类）</w:t>
      </w:r>
    </w:p>
    <w:p>
      <w:pPr>
        <w:spacing w:line="440" w:lineRule="exact"/>
        <w:ind w:firstLine="480" w:firstLineChars="200"/>
        <w:rPr>
          <w:rFonts w:hAnsi="宋体" w:cs="宋体"/>
          <w:color w:val="auto"/>
          <w:sz w:val="24"/>
          <w:szCs w:val="24"/>
          <w:highlight w:val="none"/>
          <w:u w:val="single"/>
        </w:rPr>
      </w:pPr>
      <w:r>
        <w:rPr>
          <w:rFonts w:hint="eastAsia" w:hAnsi="宋体" w:cs="宋体"/>
          <w:sz w:val="24"/>
          <w:szCs w:val="24"/>
          <w:highlight w:val="none"/>
        </w:rPr>
        <w:t>合同编号：</w:t>
      </w:r>
      <w:r>
        <w:rPr>
          <w:rFonts w:hint="eastAsia" w:hAnsi="宋体"/>
          <w:color w:val="auto"/>
          <w:sz w:val="24"/>
          <w:szCs w:val="24"/>
          <w:highlight w:val="none"/>
          <w:u w:val="single"/>
        </w:rPr>
        <w:t>与招标编号一致。</w:t>
      </w:r>
    </w:p>
    <w:p>
      <w:pPr>
        <w:spacing w:line="440" w:lineRule="exact"/>
        <w:ind w:firstLine="480" w:firstLineChars="200"/>
        <w:rPr>
          <w:rFonts w:hAnsi="宋体" w:cs="宋体"/>
          <w:color w:val="auto"/>
          <w:sz w:val="24"/>
          <w:szCs w:val="24"/>
          <w:highlight w:val="none"/>
        </w:rPr>
      </w:pPr>
      <w:r>
        <w:rPr>
          <w:rFonts w:hint="eastAsia" w:hAnsi="宋体" w:cs="宋体"/>
          <w:color w:val="auto"/>
          <w:sz w:val="24"/>
          <w:szCs w:val="24"/>
          <w:highlight w:val="none"/>
        </w:rPr>
        <w:t>是否中小企业预留合同：是/否。</w:t>
      </w:r>
    </w:p>
    <w:p>
      <w:pPr>
        <w:spacing w:line="440" w:lineRule="exact"/>
        <w:ind w:firstLine="480" w:firstLineChars="200"/>
        <w:rPr>
          <w:sz w:val="24"/>
          <w:szCs w:val="24"/>
          <w:highlight w:val="none"/>
        </w:rPr>
      </w:pPr>
      <w:r>
        <w:rPr>
          <w:rFonts w:hint="eastAsia" w:hAnsi="宋体" w:cs="宋体"/>
          <w:sz w:val="24"/>
          <w:szCs w:val="24"/>
          <w:highlight w:val="none"/>
        </w:rPr>
        <w:t>签订地点：</w:t>
      </w:r>
      <w:r>
        <w:rPr>
          <w:sz w:val="24"/>
          <w:szCs w:val="24"/>
          <w:highlight w:val="none"/>
        </w:rPr>
        <w:t>XXXX</w:t>
      </w:r>
    </w:p>
    <w:p>
      <w:pPr>
        <w:spacing w:line="440" w:lineRule="exact"/>
        <w:ind w:firstLine="480" w:firstLineChars="200"/>
        <w:rPr>
          <w:rFonts w:hAnsi="宋体" w:cs="宋体"/>
          <w:sz w:val="24"/>
          <w:szCs w:val="24"/>
          <w:highlight w:val="none"/>
        </w:rPr>
      </w:pPr>
      <w:r>
        <w:rPr>
          <w:rFonts w:hint="eastAsia" w:hAnsi="宋体" w:cs="宋体"/>
          <w:sz w:val="24"/>
          <w:szCs w:val="24"/>
          <w:highlight w:val="none"/>
        </w:rPr>
        <w:t>签订时间：</w:t>
      </w:r>
      <w:r>
        <w:rPr>
          <w:sz w:val="24"/>
          <w:szCs w:val="24"/>
          <w:highlight w:val="none"/>
        </w:rPr>
        <w:t>XXXX</w:t>
      </w:r>
      <w:r>
        <w:rPr>
          <w:rFonts w:hint="eastAsia" w:hAnsi="宋体"/>
          <w:sz w:val="24"/>
          <w:szCs w:val="24"/>
          <w:highlight w:val="none"/>
        </w:rPr>
        <w:t>年</w:t>
      </w:r>
      <w:r>
        <w:rPr>
          <w:sz w:val="24"/>
          <w:szCs w:val="24"/>
          <w:highlight w:val="none"/>
        </w:rPr>
        <w:t>XX</w:t>
      </w:r>
      <w:r>
        <w:rPr>
          <w:rFonts w:hint="eastAsia" w:hAnsi="宋体"/>
          <w:sz w:val="24"/>
          <w:szCs w:val="24"/>
          <w:highlight w:val="none"/>
        </w:rPr>
        <w:t>月</w:t>
      </w:r>
      <w:r>
        <w:rPr>
          <w:sz w:val="24"/>
          <w:szCs w:val="24"/>
          <w:highlight w:val="none"/>
        </w:rPr>
        <w:t>XX</w:t>
      </w:r>
      <w:r>
        <w:rPr>
          <w:rFonts w:hint="eastAsia" w:hAnsi="宋体"/>
          <w:sz w:val="24"/>
          <w:szCs w:val="24"/>
          <w:highlight w:val="none"/>
        </w:rPr>
        <w:t>日</w:t>
      </w:r>
    </w:p>
    <w:p>
      <w:pPr>
        <w:spacing w:line="440" w:lineRule="exact"/>
        <w:ind w:firstLine="480" w:firstLineChars="200"/>
        <w:rPr>
          <w:rFonts w:hAnsi="宋体" w:cs="宋体"/>
          <w:sz w:val="24"/>
          <w:szCs w:val="24"/>
          <w:highlight w:val="none"/>
        </w:rPr>
      </w:pPr>
      <w:r>
        <w:rPr>
          <w:rFonts w:hint="eastAsia" w:hAnsi="宋体" w:cs="宋体"/>
          <w:sz w:val="24"/>
          <w:szCs w:val="24"/>
          <w:highlight w:val="none"/>
        </w:rPr>
        <w:t>采购人（甲方）：</w:t>
      </w:r>
    </w:p>
    <w:p>
      <w:pPr>
        <w:spacing w:line="440" w:lineRule="exact"/>
        <w:ind w:firstLine="480" w:firstLineChars="200"/>
        <w:rPr>
          <w:rFonts w:hAnsi="宋体" w:cs="宋体"/>
          <w:sz w:val="24"/>
          <w:szCs w:val="24"/>
          <w:highlight w:val="none"/>
        </w:rPr>
      </w:pPr>
      <w:r>
        <w:rPr>
          <w:rFonts w:hint="eastAsia" w:hAnsi="宋体" w:cs="宋体"/>
          <w:sz w:val="24"/>
          <w:szCs w:val="24"/>
          <w:highlight w:val="none"/>
        </w:rPr>
        <w:t>供应商（乙方）：</w:t>
      </w:r>
    </w:p>
    <w:p>
      <w:pPr>
        <w:adjustRightInd w:val="0"/>
        <w:snapToGrid w:val="0"/>
        <w:spacing w:line="440" w:lineRule="exact"/>
        <w:ind w:right="480" w:firstLine="480" w:firstLineChars="200"/>
        <w:rPr>
          <w:rFonts w:hAnsi="宋体" w:cs="宋体"/>
          <w:sz w:val="24"/>
          <w:szCs w:val="24"/>
          <w:highlight w:val="none"/>
        </w:rPr>
      </w:pPr>
    </w:p>
    <w:p>
      <w:pPr>
        <w:adjustRightInd w:val="0"/>
        <w:snapToGrid w:val="0"/>
        <w:spacing w:line="440" w:lineRule="exact"/>
        <w:ind w:right="480" w:firstLine="480" w:firstLineChars="200"/>
        <w:rPr>
          <w:rFonts w:hAnsi="宋体" w:cs="宋体"/>
          <w:sz w:val="24"/>
          <w:szCs w:val="24"/>
          <w:highlight w:val="none"/>
        </w:rPr>
      </w:pPr>
    </w:p>
    <w:p>
      <w:pPr>
        <w:adjustRightInd w:val="0"/>
        <w:snapToGrid w:val="0"/>
        <w:spacing w:line="440" w:lineRule="exact"/>
        <w:ind w:right="480" w:firstLine="480" w:firstLineChars="200"/>
        <w:rPr>
          <w:rFonts w:hAnsi="宋体" w:cs="宋体"/>
          <w:sz w:val="24"/>
          <w:szCs w:val="24"/>
          <w:highlight w:val="none"/>
        </w:rPr>
      </w:pPr>
      <w:r>
        <w:rPr>
          <w:rFonts w:hint="eastAsia" w:hAnsi="宋体" w:cs="宋体"/>
          <w:sz w:val="24"/>
          <w:szCs w:val="24"/>
          <w:highlight w:val="none"/>
        </w:rPr>
        <w:t>根据《中华人民共和国政府采购法》、《中华人民共和国民法典》及</w:t>
      </w:r>
      <w:r>
        <w:rPr>
          <w:rFonts w:hint="eastAsia" w:hAnsi="宋体" w:cs="宋体"/>
          <w:sz w:val="24"/>
          <w:szCs w:val="24"/>
          <w:highlight w:val="none"/>
          <w:u w:val="single"/>
        </w:rPr>
        <w:t>服务采购项目</w:t>
      </w:r>
      <w:r>
        <w:rPr>
          <w:rFonts w:hint="eastAsia" w:hAnsi="宋体" w:cs="宋体"/>
          <w:sz w:val="24"/>
          <w:szCs w:val="24"/>
          <w:highlight w:val="none"/>
        </w:rPr>
        <w:t>（项目编号：XX）的《招标文件》、乙方的《投标文件》及《中标通知书》，甲、乙双方同意签订本合同。详细技术说明及其他有关合同项目的特定信息由合同附件予以说明，合同附件及本项目的招标文件、投标文件、《中标通知书》等均为本合同不可分割的部分。双方同意共同遵守如下条款：</w:t>
      </w:r>
      <w:bookmarkStart w:id="61" w:name="_Toc309113764"/>
      <w:bookmarkStart w:id="62" w:name="_Toc307565067"/>
      <w:bookmarkStart w:id="63" w:name="_Toc307501162"/>
      <w:bookmarkStart w:id="64" w:name="_Toc307823123"/>
      <w:bookmarkStart w:id="65" w:name="_Toc309113425"/>
    </w:p>
    <w:bookmarkEnd w:id="61"/>
    <w:bookmarkEnd w:id="62"/>
    <w:bookmarkEnd w:id="63"/>
    <w:bookmarkEnd w:id="64"/>
    <w:bookmarkEnd w:id="65"/>
    <w:p>
      <w:pPr>
        <w:pStyle w:val="6"/>
        <w:topLinePunct/>
        <w:spacing w:before="0" w:after="0" w:line="440" w:lineRule="exact"/>
        <w:rPr>
          <w:rFonts w:hAnsi="宋体" w:cs="宋体"/>
          <w:sz w:val="24"/>
          <w:szCs w:val="24"/>
          <w:highlight w:val="none"/>
        </w:rPr>
      </w:pPr>
      <w:r>
        <w:rPr>
          <w:rFonts w:hint="eastAsia"/>
          <w:sz w:val="24"/>
          <w:szCs w:val="24"/>
          <w:highlight w:val="none"/>
        </w:rPr>
        <w:t>一、项目</w:t>
      </w:r>
      <w:r>
        <w:rPr>
          <w:rFonts w:hint="eastAsia" w:hAnsi="宋体" w:cs="宋体"/>
          <w:sz w:val="24"/>
          <w:szCs w:val="24"/>
          <w:highlight w:val="none"/>
        </w:rPr>
        <w:t>基本情况</w:t>
      </w:r>
    </w:p>
    <w:p>
      <w:pPr>
        <w:spacing w:line="440" w:lineRule="exact"/>
        <w:ind w:firstLine="630"/>
        <w:rPr>
          <w:rFonts w:hAnsi="宋体" w:cs="宋体"/>
          <w:b/>
          <w:sz w:val="24"/>
          <w:szCs w:val="24"/>
          <w:highlight w:val="none"/>
        </w:rPr>
      </w:pPr>
    </w:p>
    <w:p>
      <w:pPr>
        <w:pStyle w:val="6"/>
        <w:topLinePunct/>
        <w:spacing w:before="0" w:after="0" w:line="440" w:lineRule="exact"/>
        <w:rPr>
          <w:rFonts w:hAnsi="宋体" w:cs="宋体"/>
          <w:sz w:val="24"/>
          <w:szCs w:val="24"/>
          <w:highlight w:val="none"/>
        </w:rPr>
      </w:pPr>
      <w:r>
        <w:rPr>
          <w:rFonts w:hint="eastAsia"/>
          <w:sz w:val="24"/>
          <w:szCs w:val="24"/>
          <w:highlight w:val="none"/>
        </w:rPr>
        <w:t>二、合同</w:t>
      </w:r>
      <w:r>
        <w:rPr>
          <w:rFonts w:hint="eastAsia" w:hAnsi="宋体" w:cs="宋体"/>
          <w:sz w:val="24"/>
          <w:szCs w:val="24"/>
          <w:highlight w:val="none"/>
        </w:rPr>
        <w:t>期限</w:t>
      </w:r>
    </w:p>
    <w:p>
      <w:pPr>
        <w:spacing w:line="440" w:lineRule="exact"/>
        <w:ind w:firstLine="480" w:firstLineChars="200"/>
        <w:rPr>
          <w:rFonts w:hAnsi="宋体" w:cs="宋体"/>
          <w:sz w:val="24"/>
          <w:szCs w:val="24"/>
          <w:highlight w:val="none"/>
        </w:rPr>
      </w:pPr>
    </w:p>
    <w:p>
      <w:pPr>
        <w:pStyle w:val="6"/>
        <w:topLinePunct/>
        <w:spacing w:before="0" w:after="0" w:line="440" w:lineRule="exact"/>
        <w:rPr>
          <w:rFonts w:hAnsi="宋体" w:cs="宋体"/>
          <w:sz w:val="24"/>
          <w:szCs w:val="24"/>
          <w:highlight w:val="none"/>
        </w:rPr>
      </w:pPr>
      <w:bookmarkStart w:id="66" w:name="_Toc232492928"/>
      <w:bookmarkStart w:id="67" w:name="_Toc237145406"/>
      <w:bookmarkStart w:id="68" w:name="_Toc211911348"/>
      <w:bookmarkStart w:id="69" w:name="_Toc212019594"/>
      <w:bookmarkStart w:id="70" w:name="_Toc247334841"/>
      <w:bookmarkStart w:id="71" w:name="_Toc283019214"/>
      <w:bookmarkStart w:id="72" w:name="_Toc225654644"/>
      <w:bookmarkStart w:id="73" w:name="_Toc238984975"/>
      <w:bookmarkStart w:id="74" w:name="_Toc239568418"/>
      <w:bookmarkStart w:id="75" w:name="_Toc225244852"/>
      <w:bookmarkStart w:id="76" w:name="_Toc239233914"/>
      <w:bookmarkStart w:id="77" w:name="_Toc185395249"/>
      <w:bookmarkStart w:id="78" w:name="_Toc286993786"/>
      <w:bookmarkStart w:id="79" w:name="_Toc241833903"/>
      <w:bookmarkStart w:id="80" w:name="_Toc282696226"/>
      <w:bookmarkStart w:id="81" w:name="_Toc225670751"/>
      <w:bookmarkStart w:id="82" w:name="_Toc211854449"/>
      <w:bookmarkStart w:id="83" w:name="_Toc251768862"/>
      <w:r>
        <w:rPr>
          <w:rFonts w:hint="eastAsia"/>
          <w:sz w:val="24"/>
          <w:szCs w:val="24"/>
          <w:highlight w:val="none"/>
        </w:rPr>
        <w:t>三、服务</w:t>
      </w:r>
      <w:r>
        <w:rPr>
          <w:rFonts w:hint="eastAsia" w:hAnsi="宋体" w:cs="宋体"/>
          <w:sz w:val="24"/>
          <w:szCs w:val="24"/>
          <w:highlight w:val="none"/>
        </w:rPr>
        <w:t>内容与质量标准</w:t>
      </w:r>
    </w:p>
    <w:p>
      <w:pPr>
        <w:spacing w:line="440" w:lineRule="exact"/>
        <w:ind w:left="567"/>
        <w:rPr>
          <w:rFonts w:hAnsi="宋体" w:cs="宋体"/>
          <w:sz w:val="24"/>
          <w:szCs w:val="24"/>
          <w:highlight w:val="none"/>
        </w:rPr>
      </w:pPr>
      <w:r>
        <w:rPr>
          <w:rFonts w:hint="eastAsia" w:hAnsi="宋体" w:cs="宋体"/>
          <w:sz w:val="24"/>
          <w:szCs w:val="24"/>
          <w:highlight w:val="none"/>
        </w:rPr>
        <w:t>1、XXXX；</w:t>
      </w:r>
    </w:p>
    <w:p>
      <w:pPr>
        <w:spacing w:line="440" w:lineRule="exact"/>
        <w:ind w:left="567"/>
        <w:rPr>
          <w:rFonts w:hAnsi="宋体" w:cs="宋体"/>
          <w:sz w:val="24"/>
          <w:szCs w:val="24"/>
          <w:highlight w:val="none"/>
        </w:rPr>
      </w:pPr>
      <w:r>
        <w:rPr>
          <w:rFonts w:hint="eastAsia" w:hAnsi="宋体" w:cs="宋体"/>
          <w:sz w:val="24"/>
          <w:szCs w:val="24"/>
          <w:highlight w:val="none"/>
        </w:rPr>
        <w:t>2、XXXX；</w:t>
      </w:r>
    </w:p>
    <w:p>
      <w:pPr>
        <w:spacing w:line="440" w:lineRule="exact"/>
        <w:ind w:left="567"/>
        <w:rPr>
          <w:rFonts w:hAnsi="宋体" w:cs="宋体"/>
          <w:sz w:val="24"/>
          <w:szCs w:val="24"/>
          <w:highlight w:val="none"/>
        </w:rPr>
      </w:pPr>
      <w:r>
        <w:rPr>
          <w:rFonts w:hint="eastAsia" w:hAnsi="宋体" w:cs="宋体"/>
          <w:sz w:val="24"/>
          <w:szCs w:val="24"/>
          <w:highlight w:val="none"/>
        </w:rPr>
        <w:t>3、XXXX．</w:t>
      </w:r>
    </w:p>
    <w:p>
      <w:pPr>
        <w:spacing w:line="440" w:lineRule="exact"/>
        <w:ind w:firstLine="630"/>
        <w:rPr>
          <w:rFonts w:hAnsi="宋体"/>
          <w:sz w:val="24"/>
          <w:szCs w:val="24"/>
          <w:highlight w:val="none"/>
        </w:rPr>
      </w:pPr>
      <w:r>
        <w:rPr>
          <w:rFonts w:hint="eastAsia" w:hAnsi="宋体" w:cs="宋体"/>
          <w:sz w:val="24"/>
          <w:szCs w:val="24"/>
          <w:highlight w:val="none"/>
        </w:rPr>
        <w:t>4、项目中涉及商品包装和快递包装的应符合《关于印发&lt;商品包装政府采购需求标准（试行）&gt;、 &lt;快递包装政府采购需求标准（试行）&gt;的通知》(财办库〔2020〕123号)要求</w:t>
      </w:r>
      <w:r>
        <w:rPr>
          <w:rFonts w:hint="eastAsia" w:hAnsi="宋体"/>
          <w:sz w:val="24"/>
          <w:szCs w:val="24"/>
          <w:highlight w:val="none"/>
        </w:rPr>
        <w:t>。</w:t>
      </w:r>
    </w:p>
    <w:p>
      <w:pPr>
        <w:spacing w:line="440" w:lineRule="exact"/>
        <w:ind w:firstLine="630"/>
        <w:rPr>
          <w:rFonts w:hAnsi="宋体" w:cs="宋体"/>
          <w:sz w:val="24"/>
          <w:szCs w:val="24"/>
          <w:highlight w:val="none"/>
        </w:rPr>
      </w:pPr>
      <w:r>
        <w:rPr>
          <w:rFonts w:hint="eastAsia" w:hAnsi="宋体" w:cs="宋体"/>
          <w:sz w:val="24"/>
          <w:szCs w:val="24"/>
          <w:highlight w:val="none"/>
        </w:rPr>
        <w:t>…</w:t>
      </w:r>
    </w:p>
    <w:p>
      <w:pPr>
        <w:pStyle w:val="6"/>
        <w:topLinePunct/>
        <w:spacing w:before="0" w:after="0" w:line="440" w:lineRule="exact"/>
        <w:rPr>
          <w:rFonts w:hAnsi="宋体" w:cs="宋体"/>
          <w:sz w:val="24"/>
          <w:szCs w:val="24"/>
          <w:highlight w:val="none"/>
        </w:rPr>
      </w:pPr>
      <w:r>
        <w:rPr>
          <w:rFonts w:hint="eastAsia"/>
          <w:sz w:val="24"/>
          <w:szCs w:val="24"/>
          <w:highlight w:val="none"/>
        </w:rPr>
        <w:t>四、服务</w:t>
      </w:r>
      <w:r>
        <w:rPr>
          <w:rFonts w:hint="eastAsia" w:hAnsi="宋体" w:cs="宋体"/>
          <w:sz w:val="24"/>
          <w:szCs w:val="24"/>
          <w:highlight w:val="none"/>
        </w:rPr>
        <w:t>费用及支付方式</w:t>
      </w:r>
    </w:p>
    <w:p>
      <w:pPr>
        <w:spacing w:line="440" w:lineRule="exact"/>
        <w:ind w:left="567"/>
        <w:rPr>
          <w:rFonts w:hAnsi="宋体" w:cs="宋体"/>
          <w:b/>
          <w:sz w:val="24"/>
          <w:szCs w:val="24"/>
          <w:highlight w:val="none"/>
        </w:rPr>
      </w:pPr>
      <w:r>
        <w:rPr>
          <w:rFonts w:hint="eastAsia" w:hAnsi="宋体" w:cs="宋体"/>
          <w:b/>
          <w:sz w:val="24"/>
          <w:szCs w:val="24"/>
          <w:highlight w:val="none"/>
        </w:rPr>
        <w:t>(一)本项目服务费用由以下组成：</w:t>
      </w:r>
    </w:p>
    <w:p>
      <w:pPr>
        <w:spacing w:line="440" w:lineRule="exact"/>
        <w:ind w:firstLine="480" w:firstLineChars="200"/>
        <w:rPr>
          <w:rFonts w:hAnsi="宋体" w:cs="宋体"/>
          <w:sz w:val="24"/>
          <w:szCs w:val="24"/>
          <w:highlight w:val="none"/>
        </w:rPr>
      </w:pPr>
      <w:r>
        <w:rPr>
          <w:rFonts w:hint="eastAsia" w:hAnsi="宋体" w:cs="宋体"/>
          <w:sz w:val="24"/>
          <w:szCs w:val="24"/>
          <w:highlight w:val="none"/>
        </w:rPr>
        <w:t>1、XX万元；</w:t>
      </w:r>
    </w:p>
    <w:p>
      <w:pPr>
        <w:spacing w:line="440" w:lineRule="exact"/>
        <w:ind w:firstLine="480" w:firstLineChars="200"/>
        <w:rPr>
          <w:rFonts w:hAnsi="宋体" w:cs="宋体"/>
          <w:sz w:val="24"/>
          <w:szCs w:val="24"/>
          <w:highlight w:val="none"/>
        </w:rPr>
      </w:pPr>
      <w:r>
        <w:rPr>
          <w:rFonts w:hint="eastAsia" w:hAnsi="宋体" w:cs="宋体"/>
          <w:sz w:val="24"/>
          <w:szCs w:val="24"/>
          <w:highlight w:val="none"/>
        </w:rPr>
        <w:t>2、XX万元；</w:t>
      </w:r>
    </w:p>
    <w:p>
      <w:pPr>
        <w:spacing w:line="440" w:lineRule="exact"/>
        <w:ind w:firstLine="480" w:firstLineChars="200"/>
        <w:rPr>
          <w:rFonts w:hAnsi="宋体" w:cs="宋体"/>
          <w:sz w:val="24"/>
          <w:szCs w:val="24"/>
          <w:highlight w:val="none"/>
        </w:rPr>
      </w:pPr>
      <w:r>
        <w:rPr>
          <w:rFonts w:hint="eastAsia" w:hAnsi="宋体" w:cs="宋体"/>
          <w:sz w:val="24"/>
          <w:szCs w:val="24"/>
          <w:highlight w:val="none"/>
        </w:rPr>
        <w:t>3、XX万元。</w:t>
      </w:r>
    </w:p>
    <w:p>
      <w:pPr>
        <w:spacing w:line="440" w:lineRule="exact"/>
        <w:ind w:firstLine="480" w:firstLineChars="200"/>
        <w:rPr>
          <w:rFonts w:hAnsi="宋体" w:cs="宋体"/>
          <w:sz w:val="24"/>
          <w:szCs w:val="24"/>
          <w:highlight w:val="none"/>
        </w:rPr>
      </w:pPr>
      <w:r>
        <w:rPr>
          <w:rFonts w:hint="eastAsia" w:hAnsi="宋体" w:cs="宋体"/>
          <w:sz w:val="24"/>
          <w:szCs w:val="24"/>
          <w:highlight w:val="none"/>
        </w:rPr>
        <w:t>……</w:t>
      </w:r>
    </w:p>
    <w:p>
      <w:pPr>
        <w:tabs>
          <w:tab w:val="left" w:pos="780"/>
        </w:tabs>
        <w:spacing w:line="440" w:lineRule="exact"/>
        <w:ind w:left="567"/>
        <w:rPr>
          <w:rFonts w:hAnsi="宋体" w:cs="宋体"/>
          <w:b/>
          <w:sz w:val="24"/>
          <w:szCs w:val="24"/>
          <w:highlight w:val="none"/>
        </w:rPr>
      </w:pPr>
      <w:r>
        <w:rPr>
          <w:rFonts w:hint="eastAsia" w:hAnsi="宋体" w:cs="宋体"/>
          <w:b/>
          <w:sz w:val="24"/>
          <w:szCs w:val="24"/>
          <w:highlight w:val="none"/>
        </w:rPr>
        <w:t>(二)服务费支付方式：</w:t>
      </w:r>
    </w:p>
    <w:p>
      <w:pPr>
        <w:pStyle w:val="6"/>
        <w:topLinePunct/>
        <w:spacing w:before="0" w:after="0" w:line="440" w:lineRule="exact"/>
        <w:rPr>
          <w:rFonts w:hAnsi="宋体" w:cs="宋体"/>
          <w:sz w:val="24"/>
          <w:szCs w:val="24"/>
          <w:highlight w:val="none"/>
        </w:rPr>
      </w:pPr>
      <w:r>
        <w:rPr>
          <w:rFonts w:hint="eastAsia"/>
          <w:sz w:val="24"/>
          <w:szCs w:val="24"/>
          <w:highlight w:val="none"/>
        </w:rPr>
        <w:t>五、知识</w:t>
      </w:r>
      <w:r>
        <w:rPr>
          <w:rFonts w:hint="eastAsia" w:hAnsi="宋体" w:cs="宋体"/>
          <w:sz w:val="24"/>
          <w:szCs w:val="24"/>
          <w:highlight w:val="none"/>
        </w:rPr>
        <w:t>产权</w:t>
      </w:r>
    </w:p>
    <w:p>
      <w:pPr>
        <w:tabs>
          <w:tab w:val="left" w:pos="1440"/>
        </w:tabs>
        <w:spacing w:line="440" w:lineRule="exact"/>
        <w:ind w:firstLine="480" w:firstLineChars="200"/>
        <w:rPr>
          <w:rFonts w:hAnsi="宋体" w:cs="宋体"/>
          <w:sz w:val="24"/>
          <w:szCs w:val="24"/>
          <w:highlight w:val="none"/>
        </w:rPr>
      </w:pPr>
      <w:r>
        <w:rPr>
          <w:rFonts w:hint="eastAsia" w:hAnsi="宋体" w:cs="宋体"/>
          <w:sz w:val="24"/>
          <w:szCs w:val="24"/>
          <w:highlight w:val="none"/>
        </w:rPr>
        <w:t>乙方应保证所提供的服务或其任何一部分均不会侵犯任何第三方的专利权、商标权或著作权。</w:t>
      </w:r>
    </w:p>
    <w:p>
      <w:pPr>
        <w:pStyle w:val="6"/>
        <w:topLinePunct/>
        <w:spacing w:before="0" w:after="0" w:line="440" w:lineRule="exact"/>
        <w:rPr>
          <w:rFonts w:hAnsi="宋体" w:cs="宋体"/>
          <w:sz w:val="24"/>
          <w:szCs w:val="24"/>
          <w:highlight w:val="none"/>
        </w:rPr>
      </w:pPr>
      <w:r>
        <w:rPr>
          <w:rFonts w:hint="eastAsia"/>
          <w:sz w:val="24"/>
          <w:szCs w:val="24"/>
          <w:highlight w:val="none"/>
        </w:rPr>
        <w:t>六、无</w:t>
      </w:r>
      <w:r>
        <w:rPr>
          <w:rFonts w:hint="eastAsia" w:hAnsi="宋体" w:cs="宋体"/>
          <w:sz w:val="24"/>
          <w:szCs w:val="24"/>
          <w:highlight w:val="none"/>
        </w:rPr>
        <w:t>产权瑕疵条款</w:t>
      </w:r>
    </w:p>
    <w:p>
      <w:pPr>
        <w:tabs>
          <w:tab w:val="left" w:pos="1440"/>
        </w:tabs>
        <w:spacing w:line="440" w:lineRule="exact"/>
        <w:ind w:firstLine="480" w:firstLineChars="200"/>
        <w:rPr>
          <w:rFonts w:hAnsi="宋体" w:cs="宋体"/>
          <w:sz w:val="24"/>
          <w:szCs w:val="24"/>
          <w:highlight w:val="none"/>
        </w:rPr>
      </w:pPr>
      <w:r>
        <w:rPr>
          <w:rFonts w:hint="eastAsia" w:hAnsi="宋体" w:cs="宋体"/>
          <w:sz w:val="24"/>
          <w:szCs w:val="24"/>
          <w:highlight w:val="none"/>
        </w:rPr>
        <w:t>乙方保证所提供的服务的所有权完全属于乙方且无任何抵押、查封等产权瑕疵。如有产权瑕疵的，视为乙方违约。乙方应负担由此而产生的一切损失。</w:t>
      </w:r>
    </w:p>
    <w:p>
      <w:pPr>
        <w:pStyle w:val="6"/>
        <w:topLinePunct/>
        <w:spacing w:before="0" w:after="0" w:line="440" w:lineRule="exact"/>
        <w:rPr>
          <w:rFonts w:hAnsi="宋体" w:cs="宋体"/>
          <w:sz w:val="24"/>
          <w:szCs w:val="24"/>
          <w:highlight w:val="none"/>
        </w:rPr>
      </w:pPr>
      <w:r>
        <w:rPr>
          <w:rFonts w:hint="eastAsia"/>
          <w:sz w:val="24"/>
          <w:szCs w:val="24"/>
          <w:highlight w:val="none"/>
        </w:rPr>
        <w:t>七、履约</w:t>
      </w:r>
      <w:r>
        <w:rPr>
          <w:rFonts w:hint="eastAsia" w:hAnsi="宋体" w:cs="宋体"/>
          <w:sz w:val="24"/>
          <w:szCs w:val="24"/>
          <w:highlight w:val="none"/>
        </w:rPr>
        <w:t>保证金</w:t>
      </w:r>
    </w:p>
    <w:p>
      <w:pPr>
        <w:adjustRightInd w:val="0"/>
        <w:spacing w:line="440" w:lineRule="exact"/>
        <w:ind w:firstLine="480" w:firstLineChars="200"/>
        <w:jc w:val="left"/>
        <w:textAlignment w:val="baseline"/>
        <w:rPr>
          <w:rFonts w:hAnsi="宋体" w:cs="宋体"/>
          <w:bCs/>
          <w:sz w:val="24"/>
          <w:szCs w:val="24"/>
          <w:highlight w:val="none"/>
        </w:rPr>
      </w:pPr>
      <w:r>
        <w:rPr>
          <w:rFonts w:hint="eastAsia" w:hAnsi="宋体" w:cs="宋体"/>
          <w:bCs/>
          <w:sz w:val="24"/>
          <w:szCs w:val="24"/>
          <w:highlight w:val="none"/>
        </w:rPr>
        <w:t>1、乙方在本合同签订前交纳人民币</w:t>
      </w:r>
      <w:r>
        <w:rPr>
          <w:rFonts w:hint="eastAsia" w:hAnsi="宋体" w:cs="宋体"/>
          <w:sz w:val="24"/>
          <w:szCs w:val="24"/>
          <w:highlight w:val="none"/>
        </w:rPr>
        <w:t>XX</w:t>
      </w:r>
      <w:r>
        <w:rPr>
          <w:rFonts w:hint="eastAsia" w:hAnsi="宋体" w:cs="宋体"/>
          <w:bCs/>
          <w:sz w:val="24"/>
          <w:szCs w:val="24"/>
          <w:highlight w:val="none"/>
        </w:rPr>
        <w:t>元作为本合同的履约保证金。</w:t>
      </w:r>
    </w:p>
    <w:p>
      <w:pPr>
        <w:adjustRightInd w:val="0"/>
        <w:spacing w:line="440" w:lineRule="exact"/>
        <w:ind w:firstLine="480" w:firstLineChars="200"/>
        <w:jc w:val="left"/>
        <w:textAlignment w:val="baseline"/>
        <w:rPr>
          <w:rFonts w:hAnsi="宋体" w:cs="宋体"/>
          <w:bCs/>
          <w:sz w:val="24"/>
          <w:szCs w:val="24"/>
          <w:highlight w:val="none"/>
        </w:rPr>
      </w:pPr>
      <w:r>
        <w:rPr>
          <w:rFonts w:hint="eastAsia" w:hAnsi="宋体" w:cs="宋体"/>
          <w:bCs/>
          <w:sz w:val="24"/>
          <w:szCs w:val="24"/>
          <w:highlight w:val="none"/>
        </w:rPr>
        <w:t>2、履约保证金作为违约金的一部分及用于补偿甲方因乙方不能履行合同义务而蒙受的损失。</w:t>
      </w:r>
    </w:p>
    <w:p>
      <w:pPr>
        <w:pStyle w:val="6"/>
        <w:topLinePunct/>
        <w:spacing w:before="0" w:after="0" w:line="440" w:lineRule="exact"/>
        <w:rPr>
          <w:rFonts w:hAnsi="宋体" w:cs="宋体"/>
          <w:sz w:val="24"/>
          <w:szCs w:val="24"/>
          <w:highlight w:val="none"/>
        </w:rPr>
      </w:pPr>
      <w:r>
        <w:rPr>
          <w:rFonts w:hint="eastAsia"/>
          <w:sz w:val="24"/>
          <w:szCs w:val="24"/>
          <w:highlight w:val="none"/>
        </w:rPr>
        <w:t>八、甲方</w:t>
      </w:r>
      <w:r>
        <w:rPr>
          <w:rFonts w:hint="eastAsia" w:hAnsi="宋体" w:cs="宋体"/>
          <w:sz w:val="24"/>
          <w:szCs w:val="24"/>
          <w:highlight w:val="none"/>
        </w:rPr>
        <w:t>的权利和义务</w:t>
      </w:r>
    </w:p>
    <w:p>
      <w:pPr>
        <w:adjustRightInd w:val="0"/>
        <w:spacing w:line="440" w:lineRule="exact"/>
        <w:ind w:firstLine="480" w:firstLineChars="200"/>
        <w:jc w:val="left"/>
        <w:textAlignment w:val="baseline"/>
        <w:rPr>
          <w:rFonts w:hAnsi="宋体" w:cs="宋体"/>
          <w:bCs/>
          <w:sz w:val="24"/>
          <w:szCs w:val="24"/>
          <w:highlight w:val="none"/>
        </w:rPr>
      </w:pPr>
      <w:r>
        <w:rPr>
          <w:rFonts w:hint="eastAsia" w:hAnsi="宋体" w:cs="宋体"/>
          <w:bCs/>
          <w:sz w:val="24"/>
          <w:szCs w:val="24"/>
          <w:highlight w:val="none"/>
        </w:rPr>
        <w:t>1、甲方有权对合同规定范围内乙方的服务行为进行监督和检查，拥有监管权。有权定期核对乙方提供服务所配备的人员数量。对甲方认为不合理的部分有权下达整改通知书，并要求乙方限期整改。</w:t>
      </w:r>
    </w:p>
    <w:p>
      <w:pPr>
        <w:adjustRightInd w:val="0"/>
        <w:spacing w:line="440" w:lineRule="exact"/>
        <w:ind w:firstLine="480" w:firstLineChars="200"/>
        <w:jc w:val="left"/>
        <w:textAlignment w:val="baseline"/>
        <w:rPr>
          <w:rFonts w:hAnsi="宋体" w:cs="宋体"/>
          <w:bCs/>
          <w:sz w:val="24"/>
          <w:szCs w:val="24"/>
          <w:highlight w:val="none"/>
        </w:rPr>
      </w:pPr>
      <w:r>
        <w:rPr>
          <w:rFonts w:hint="eastAsia" w:hAnsi="宋体" w:cs="宋体"/>
          <w:bCs/>
          <w:sz w:val="24"/>
          <w:szCs w:val="24"/>
          <w:highlight w:val="none"/>
        </w:rPr>
        <w:t>2、甲方有权依据双方签订的考评办法对乙方提供的服务进行定期考评。当考评结果未达到标准时，有权依据考评办法约定的数额扣除履约保证金；扣除后，乙方应在三日内相应补足。</w:t>
      </w:r>
    </w:p>
    <w:p>
      <w:pPr>
        <w:adjustRightInd w:val="0"/>
        <w:spacing w:line="440" w:lineRule="exact"/>
        <w:ind w:firstLine="480" w:firstLineChars="200"/>
        <w:jc w:val="left"/>
        <w:textAlignment w:val="baseline"/>
        <w:rPr>
          <w:rFonts w:hAnsi="宋体" w:cs="宋体"/>
          <w:bCs/>
          <w:sz w:val="24"/>
          <w:szCs w:val="24"/>
          <w:highlight w:val="none"/>
        </w:rPr>
      </w:pPr>
      <w:r>
        <w:rPr>
          <w:rFonts w:hint="eastAsia" w:hAnsi="宋体" w:cs="宋体"/>
          <w:bCs/>
          <w:sz w:val="24"/>
          <w:szCs w:val="24"/>
          <w:highlight w:val="none"/>
        </w:rPr>
        <w:t>3、负责检查监督乙方管理工作的实施及制度的执行情况。</w:t>
      </w:r>
    </w:p>
    <w:p>
      <w:pPr>
        <w:adjustRightInd w:val="0"/>
        <w:spacing w:line="440" w:lineRule="exact"/>
        <w:ind w:firstLine="480" w:firstLineChars="200"/>
        <w:jc w:val="left"/>
        <w:textAlignment w:val="baseline"/>
        <w:rPr>
          <w:rFonts w:hAnsi="宋体" w:cs="宋体"/>
          <w:bCs/>
          <w:sz w:val="24"/>
          <w:szCs w:val="24"/>
          <w:highlight w:val="none"/>
        </w:rPr>
      </w:pPr>
      <w:r>
        <w:rPr>
          <w:rFonts w:hint="eastAsia" w:hAnsi="宋体" w:cs="宋体"/>
          <w:bCs/>
          <w:sz w:val="24"/>
          <w:szCs w:val="24"/>
          <w:highlight w:val="none"/>
        </w:rPr>
        <w:t>4、甲方将按照四川省财</w:t>
      </w:r>
      <w:r>
        <w:rPr>
          <w:rFonts w:hint="eastAsia" w:hAnsi="宋体" w:cs="宋体"/>
          <w:color w:val="000000"/>
          <w:sz w:val="24"/>
          <w:szCs w:val="24"/>
          <w:highlight w:val="none"/>
        </w:rPr>
        <w:t>政厅《四川省政府采购项目需求论证和履约验收管理办法》（川财采〔2015〕32号）的相关规定，组织本项采购目的履约验收工作。</w:t>
      </w:r>
    </w:p>
    <w:p>
      <w:pPr>
        <w:adjustRightInd w:val="0"/>
        <w:spacing w:line="440" w:lineRule="exact"/>
        <w:ind w:firstLine="480" w:firstLineChars="200"/>
        <w:jc w:val="left"/>
        <w:textAlignment w:val="baseline"/>
        <w:rPr>
          <w:rFonts w:hAnsi="宋体" w:cs="宋体"/>
          <w:bCs/>
          <w:sz w:val="24"/>
          <w:szCs w:val="24"/>
          <w:highlight w:val="none"/>
        </w:rPr>
      </w:pPr>
      <w:r>
        <w:rPr>
          <w:rFonts w:hint="eastAsia" w:hAnsi="宋体" w:cs="宋体"/>
          <w:bCs/>
          <w:sz w:val="24"/>
          <w:szCs w:val="24"/>
          <w:highlight w:val="none"/>
        </w:rPr>
        <w:t>5、根据本合同规定，按时向乙方支付应付服务费用。</w:t>
      </w:r>
    </w:p>
    <w:p>
      <w:pPr>
        <w:adjustRightInd w:val="0"/>
        <w:spacing w:line="440" w:lineRule="exact"/>
        <w:ind w:firstLine="480" w:firstLineChars="200"/>
        <w:jc w:val="left"/>
        <w:textAlignment w:val="baseline"/>
        <w:rPr>
          <w:rFonts w:hAnsi="宋体" w:cs="宋体"/>
          <w:bCs/>
          <w:sz w:val="24"/>
          <w:szCs w:val="24"/>
          <w:highlight w:val="none"/>
        </w:rPr>
      </w:pPr>
      <w:r>
        <w:rPr>
          <w:rFonts w:hint="eastAsia" w:hAnsi="宋体" w:cs="宋体"/>
          <w:bCs/>
          <w:sz w:val="24"/>
          <w:szCs w:val="24"/>
          <w:highlight w:val="none"/>
        </w:rPr>
        <w:t>6、国家法律、法规所规定由甲方承担的其它责任。</w:t>
      </w:r>
    </w:p>
    <w:p>
      <w:pPr>
        <w:pStyle w:val="6"/>
        <w:topLinePunct/>
        <w:spacing w:before="0" w:after="0" w:line="440" w:lineRule="exact"/>
        <w:rPr>
          <w:rFonts w:hAnsi="宋体" w:cs="宋体"/>
          <w:sz w:val="24"/>
          <w:szCs w:val="24"/>
          <w:highlight w:val="none"/>
        </w:rPr>
      </w:pPr>
      <w:r>
        <w:rPr>
          <w:rFonts w:hint="eastAsia"/>
          <w:sz w:val="24"/>
          <w:szCs w:val="24"/>
          <w:highlight w:val="none"/>
        </w:rPr>
        <w:t>九、乙方</w:t>
      </w:r>
      <w:r>
        <w:rPr>
          <w:rFonts w:hint="eastAsia" w:hAnsi="宋体" w:cs="宋体"/>
          <w:sz w:val="24"/>
          <w:szCs w:val="24"/>
          <w:highlight w:val="none"/>
        </w:rPr>
        <w:t>的权利和义务</w:t>
      </w:r>
    </w:p>
    <w:p>
      <w:pPr>
        <w:adjustRightInd w:val="0"/>
        <w:spacing w:line="440" w:lineRule="exact"/>
        <w:ind w:firstLine="480" w:firstLineChars="200"/>
        <w:jc w:val="left"/>
        <w:textAlignment w:val="baseline"/>
        <w:rPr>
          <w:rFonts w:hAnsi="宋体" w:cs="宋体"/>
          <w:bCs/>
          <w:sz w:val="24"/>
          <w:szCs w:val="24"/>
          <w:highlight w:val="none"/>
        </w:rPr>
      </w:pPr>
      <w:r>
        <w:rPr>
          <w:rFonts w:hint="eastAsia" w:hAnsi="宋体" w:cs="宋体"/>
          <w:bCs/>
          <w:sz w:val="24"/>
          <w:szCs w:val="24"/>
          <w:highlight w:val="none"/>
        </w:rPr>
        <w:t>1、对本合同规定的委托服务范围内的项目享有管理权及服务义务。</w:t>
      </w:r>
    </w:p>
    <w:p>
      <w:pPr>
        <w:adjustRightInd w:val="0"/>
        <w:spacing w:line="440" w:lineRule="exact"/>
        <w:ind w:firstLine="480" w:firstLineChars="200"/>
        <w:jc w:val="left"/>
        <w:textAlignment w:val="baseline"/>
        <w:rPr>
          <w:rFonts w:hAnsi="宋体" w:cs="宋体"/>
          <w:bCs/>
          <w:sz w:val="24"/>
          <w:szCs w:val="24"/>
          <w:highlight w:val="none"/>
        </w:rPr>
      </w:pPr>
      <w:r>
        <w:rPr>
          <w:rFonts w:hint="eastAsia" w:hAnsi="宋体" w:cs="宋体"/>
          <w:bCs/>
          <w:sz w:val="24"/>
          <w:szCs w:val="24"/>
          <w:highlight w:val="none"/>
        </w:rPr>
        <w:t>2、根据本合同的规定向甲方收取相关服务费用，并有权在本项目管理范围内管理及合理使用。</w:t>
      </w:r>
    </w:p>
    <w:p>
      <w:pPr>
        <w:adjustRightInd w:val="0"/>
        <w:spacing w:line="440" w:lineRule="exact"/>
        <w:ind w:firstLine="480" w:firstLineChars="200"/>
        <w:jc w:val="left"/>
        <w:textAlignment w:val="baseline"/>
        <w:rPr>
          <w:rFonts w:hAnsi="宋体" w:cs="宋体"/>
          <w:sz w:val="24"/>
          <w:szCs w:val="24"/>
          <w:highlight w:val="none"/>
        </w:rPr>
      </w:pPr>
      <w:r>
        <w:rPr>
          <w:rFonts w:hint="eastAsia" w:hAnsi="宋体" w:cs="宋体"/>
          <w:sz w:val="24"/>
          <w:szCs w:val="24"/>
          <w:highlight w:val="none"/>
        </w:rPr>
        <w:t>3、及时向甲方通告本项目服务范围内有关服务的重大事项，及时配合处理投诉。</w:t>
      </w:r>
    </w:p>
    <w:p>
      <w:pPr>
        <w:adjustRightInd w:val="0"/>
        <w:spacing w:line="440" w:lineRule="exact"/>
        <w:ind w:firstLine="480" w:firstLineChars="200"/>
        <w:jc w:val="left"/>
        <w:textAlignment w:val="baseline"/>
        <w:rPr>
          <w:rFonts w:hAnsi="宋体" w:cs="宋体"/>
          <w:bCs/>
          <w:sz w:val="24"/>
          <w:szCs w:val="24"/>
          <w:highlight w:val="none"/>
        </w:rPr>
      </w:pPr>
      <w:r>
        <w:rPr>
          <w:rFonts w:hint="eastAsia" w:hAnsi="宋体" w:cs="宋体"/>
          <w:sz w:val="24"/>
          <w:szCs w:val="24"/>
          <w:highlight w:val="none"/>
        </w:rPr>
        <w:t>4、</w:t>
      </w:r>
      <w:r>
        <w:rPr>
          <w:rFonts w:hint="eastAsia" w:hAnsi="宋体" w:cs="宋体"/>
          <w:bCs/>
          <w:sz w:val="24"/>
          <w:szCs w:val="24"/>
          <w:highlight w:val="none"/>
        </w:rPr>
        <w:t>接受项目行业管理部门及政府有关部门的指导，接受甲方的监督。</w:t>
      </w:r>
    </w:p>
    <w:p>
      <w:pPr>
        <w:adjustRightInd w:val="0"/>
        <w:spacing w:line="440" w:lineRule="exact"/>
        <w:ind w:firstLine="480" w:firstLineChars="200"/>
        <w:jc w:val="left"/>
        <w:textAlignment w:val="baseline"/>
        <w:rPr>
          <w:rFonts w:hAnsi="宋体" w:cs="宋体"/>
          <w:bCs/>
          <w:sz w:val="24"/>
          <w:szCs w:val="24"/>
          <w:highlight w:val="none"/>
        </w:rPr>
      </w:pPr>
      <w:r>
        <w:rPr>
          <w:rFonts w:hint="eastAsia" w:hAnsi="宋体" w:cs="宋体"/>
          <w:bCs/>
          <w:sz w:val="24"/>
          <w:szCs w:val="24"/>
          <w:highlight w:val="none"/>
        </w:rPr>
        <w:t>5、接受甲方组织的政府采购履约验收工作。</w:t>
      </w:r>
    </w:p>
    <w:p>
      <w:pPr>
        <w:adjustRightInd w:val="0"/>
        <w:spacing w:line="440" w:lineRule="exact"/>
        <w:ind w:firstLine="480" w:firstLineChars="200"/>
        <w:jc w:val="left"/>
        <w:textAlignment w:val="baseline"/>
        <w:rPr>
          <w:rFonts w:hAnsi="宋体" w:cs="宋体"/>
          <w:bCs/>
          <w:sz w:val="24"/>
          <w:szCs w:val="24"/>
          <w:highlight w:val="none"/>
        </w:rPr>
      </w:pPr>
      <w:r>
        <w:rPr>
          <w:rFonts w:hint="eastAsia" w:hAnsi="宋体" w:cs="宋体"/>
          <w:bCs/>
          <w:sz w:val="24"/>
          <w:szCs w:val="24"/>
          <w:highlight w:val="none"/>
        </w:rPr>
        <w:t>6、国家法律、法规所规定由乙方承担的其它责任。</w:t>
      </w:r>
    </w:p>
    <w:p>
      <w:pPr>
        <w:pStyle w:val="6"/>
        <w:topLinePunct/>
        <w:spacing w:before="0" w:after="0" w:line="440" w:lineRule="exact"/>
        <w:rPr>
          <w:rFonts w:hAnsi="宋体" w:cs="宋体"/>
          <w:sz w:val="24"/>
          <w:szCs w:val="24"/>
          <w:highlight w:val="none"/>
        </w:rPr>
      </w:pPr>
      <w:r>
        <w:rPr>
          <w:rFonts w:hint="eastAsia"/>
          <w:sz w:val="24"/>
          <w:szCs w:val="24"/>
          <w:highlight w:val="none"/>
        </w:rPr>
        <w:t>十、违约</w:t>
      </w:r>
      <w:r>
        <w:rPr>
          <w:rFonts w:hint="eastAsia" w:hAnsi="宋体" w:cs="宋体"/>
          <w:sz w:val="24"/>
          <w:szCs w:val="24"/>
          <w:highlight w:val="none"/>
        </w:rPr>
        <w:t>责任</w:t>
      </w:r>
    </w:p>
    <w:p>
      <w:pPr>
        <w:adjustRightInd w:val="0"/>
        <w:spacing w:line="440" w:lineRule="exact"/>
        <w:ind w:firstLine="480" w:firstLineChars="200"/>
        <w:jc w:val="left"/>
        <w:textAlignment w:val="baseline"/>
        <w:rPr>
          <w:rFonts w:hAnsi="宋体" w:cs="宋体"/>
          <w:bCs/>
          <w:sz w:val="24"/>
          <w:szCs w:val="24"/>
          <w:highlight w:val="none"/>
        </w:rPr>
      </w:pPr>
      <w:r>
        <w:rPr>
          <w:rFonts w:hint="eastAsia" w:hAnsi="宋体" w:cs="宋体"/>
          <w:bCs/>
          <w:sz w:val="24"/>
          <w:szCs w:val="24"/>
          <w:highlight w:val="none"/>
        </w:rPr>
        <w:t>1、甲乙双方必须遵守本合同并执行合同中的各项规定，保证本合同的正常履行。</w:t>
      </w:r>
    </w:p>
    <w:p>
      <w:pPr>
        <w:adjustRightInd w:val="0"/>
        <w:spacing w:line="440" w:lineRule="exact"/>
        <w:ind w:firstLine="480" w:firstLineChars="200"/>
        <w:jc w:val="left"/>
        <w:textAlignment w:val="baseline"/>
        <w:rPr>
          <w:rFonts w:hAnsi="宋体" w:cs="宋体"/>
          <w:bCs/>
          <w:sz w:val="24"/>
          <w:szCs w:val="24"/>
          <w:highlight w:val="none"/>
        </w:rPr>
      </w:pPr>
      <w:r>
        <w:rPr>
          <w:rFonts w:hint="eastAsia" w:hAnsi="宋体" w:cs="宋体"/>
          <w:bCs/>
          <w:sz w:val="24"/>
          <w:szCs w:val="24"/>
          <w:highlight w:val="none"/>
        </w:rPr>
        <w:t>2、如因乙方工作人员在履行职务过程中的的疏忽、失职、过错等故意或者过失原因给甲方造成损失或侵害，包括但不限于甲方本身的财产损失、由此而导致的甲方对任何第三方的法律责任等，乙方对此均应承担全部的赔偿责任。</w:t>
      </w:r>
    </w:p>
    <w:p>
      <w:pPr>
        <w:adjustRightInd w:val="0"/>
        <w:spacing w:line="440" w:lineRule="exact"/>
        <w:ind w:firstLine="480" w:firstLineChars="200"/>
        <w:jc w:val="left"/>
        <w:textAlignment w:val="baseline"/>
        <w:rPr>
          <w:rFonts w:hAnsi="宋体" w:cs="宋体"/>
          <w:bCs/>
          <w:sz w:val="24"/>
          <w:szCs w:val="24"/>
          <w:highlight w:val="none"/>
        </w:rPr>
      </w:pPr>
      <w:r>
        <w:rPr>
          <w:rFonts w:hint="eastAsia" w:hAnsi="宋体" w:cs="宋体"/>
          <w:bCs/>
          <w:sz w:val="24"/>
          <w:szCs w:val="24"/>
          <w:highlight w:val="none"/>
        </w:rPr>
        <w:t>3、服务期内，甲方按考评办法对乙方提供的服务进行考评，考评结果累计二次不达标的，甲方有权解除本合同，且有权按合同总额的10%追究乙方违约责任。</w:t>
      </w:r>
    </w:p>
    <w:p>
      <w:pPr>
        <w:pStyle w:val="6"/>
        <w:topLinePunct/>
        <w:spacing w:before="0" w:after="0" w:line="440" w:lineRule="exact"/>
        <w:rPr>
          <w:rFonts w:hAnsi="宋体" w:cs="宋体"/>
          <w:sz w:val="24"/>
          <w:szCs w:val="24"/>
          <w:highlight w:val="none"/>
        </w:rPr>
      </w:pPr>
      <w:r>
        <w:rPr>
          <w:rFonts w:hint="eastAsia"/>
          <w:sz w:val="24"/>
          <w:szCs w:val="24"/>
          <w:highlight w:val="none"/>
        </w:rPr>
        <w:t>十一、不可抗力</w:t>
      </w:r>
      <w:r>
        <w:rPr>
          <w:rFonts w:hint="eastAsia" w:hAnsi="宋体" w:cs="宋体"/>
          <w:sz w:val="24"/>
          <w:szCs w:val="24"/>
          <w:highlight w:val="none"/>
        </w:rPr>
        <w:t>事件处理</w:t>
      </w:r>
    </w:p>
    <w:p>
      <w:pPr>
        <w:tabs>
          <w:tab w:val="left" w:pos="0"/>
        </w:tabs>
        <w:spacing w:line="440" w:lineRule="exact"/>
        <w:ind w:firstLine="480" w:firstLineChars="200"/>
        <w:rPr>
          <w:rFonts w:hAnsi="宋体" w:cs="宋体"/>
          <w:sz w:val="24"/>
          <w:szCs w:val="24"/>
          <w:highlight w:val="none"/>
        </w:rPr>
      </w:pPr>
      <w:r>
        <w:rPr>
          <w:rFonts w:hint="eastAsia" w:hAnsi="宋体" w:cs="宋体"/>
          <w:sz w:val="24"/>
          <w:szCs w:val="24"/>
          <w:highlight w:val="none"/>
        </w:rPr>
        <w:t>1、在合同有效期内，任何一方因不可抗力事件导致不能履行合同，则合同履行期可延长，其延长期与不可抗力影响期相同。</w:t>
      </w:r>
    </w:p>
    <w:p>
      <w:pPr>
        <w:tabs>
          <w:tab w:val="left" w:pos="0"/>
        </w:tabs>
        <w:spacing w:line="440" w:lineRule="exact"/>
        <w:ind w:firstLine="480" w:firstLineChars="200"/>
        <w:rPr>
          <w:rFonts w:hAnsi="宋体" w:cs="宋体"/>
          <w:sz w:val="24"/>
          <w:szCs w:val="24"/>
          <w:highlight w:val="none"/>
        </w:rPr>
      </w:pPr>
      <w:r>
        <w:rPr>
          <w:rFonts w:hint="eastAsia" w:hAnsi="宋体" w:cs="宋体"/>
          <w:sz w:val="24"/>
          <w:szCs w:val="24"/>
          <w:highlight w:val="none"/>
        </w:rPr>
        <w:t>2、不可抗力事件发生后，应立即通知对方，并寄送有关权威机构出具的证明。</w:t>
      </w:r>
    </w:p>
    <w:p>
      <w:pPr>
        <w:tabs>
          <w:tab w:val="left" w:pos="0"/>
        </w:tabs>
        <w:spacing w:line="440" w:lineRule="exact"/>
        <w:ind w:firstLine="480" w:firstLineChars="200"/>
        <w:rPr>
          <w:rFonts w:hAnsi="宋体" w:cs="宋体"/>
          <w:sz w:val="24"/>
          <w:szCs w:val="24"/>
          <w:highlight w:val="none"/>
        </w:rPr>
      </w:pPr>
      <w:r>
        <w:rPr>
          <w:rFonts w:hint="eastAsia" w:hAnsi="宋体" w:cs="宋体"/>
          <w:sz w:val="24"/>
          <w:szCs w:val="24"/>
          <w:highlight w:val="none"/>
        </w:rPr>
        <w:t>3、不可抗力事件延续XX天以上，双方应通过友好协商，确定是否继续履行合同。</w:t>
      </w:r>
    </w:p>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p>
      <w:pPr>
        <w:pStyle w:val="6"/>
        <w:topLinePunct/>
        <w:spacing w:before="0" w:after="0" w:line="440" w:lineRule="exact"/>
        <w:rPr>
          <w:rFonts w:hAnsi="宋体" w:cs="宋体"/>
          <w:sz w:val="24"/>
          <w:szCs w:val="24"/>
          <w:highlight w:val="none"/>
        </w:rPr>
      </w:pPr>
      <w:bookmarkStart w:id="84" w:name="_Toc232492933"/>
      <w:bookmarkStart w:id="85" w:name="_Toc225244857"/>
      <w:bookmarkStart w:id="86" w:name="_Toc211911353"/>
      <w:bookmarkStart w:id="87" w:name="_Toc225654649"/>
      <w:bookmarkStart w:id="88" w:name="_Toc286993792"/>
      <w:bookmarkStart w:id="89" w:name="_Toc225670756"/>
      <w:bookmarkStart w:id="90" w:name="_Toc239233919"/>
      <w:bookmarkStart w:id="91" w:name="_Toc237145411"/>
      <w:bookmarkStart w:id="92" w:name="_Toc211854454"/>
      <w:bookmarkStart w:id="93" w:name="_Toc251768867"/>
      <w:bookmarkStart w:id="94" w:name="_Toc239568423"/>
      <w:bookmarkStart w:id="95" w:name="_Toc241833908"/>
      <w:bookmarkStart w:id="96" w:name="_Toc185395254"/>
      <w:bookmarkStart w:id="97" w:name="_Toc238984980"/>
      <w:bookmarkStart w:id="98" w:name="_Toc212019599"/>
      <w:bookmarkStart w:id="99" w:name="_Toc247334846"/>
      <w:r>
        <w:rPr>
          <w:rFonts w:hint="eastAsia"/>
          <w:sz w:val="24"/>
          <w:szCs w:val="24"/>
          <w:highlight w:val="none"/>
        </w:rPr>
        <w:t>十二、解决</w:t>
      </w:r>
      <w:r>
        <w:rPr>
          <w:rFonts w:hint="eastAsia" w:hAnsi="宋体" w:cs="宋体"/>
          <w:sz w:val="24"/>
          <w:szCs w:val="24"/>
          <w:highlight w:val="none"/>
        </w:rPr>
        <w:t>合同纠纷的方式</w:t>
      </w:r>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p>
    <w:p>
      <w:pPr>
        <w:tabs>
          <w:tab w:val="left" w:pos="0"/>
        </w:tabs>
        <w:spacing w:line="440" w:lineRule="exact"/>
        <w:ind w:firstLine="480" w:firstLineChars="200"/>
        <w:rPr>
          <w:rFonts w:hAnsi="宋体" w:cs="宋体"/>
          <w:sz w:val="24"/>
          <w:szCs w:val="24"/>
          <w:highlight w:val="none"/>
        </w:rPr>
      </w:pPr>
      <w:r>
        <w:rPr>
          <w:rFonts w:hint="eastAsia" w:hAnsi="宋体" w:cs="宋体"/>
          <w:sz w:val="24"/>
          <w:szCs w:val="24"/>
          <w:highlight w:val="none"/>
        </w:rPr>
        <w:t>1、在执行本合同中发生的或与本合同有关的争端，双方应通过友好协商解决，经协商在XX天内不能达成协议时，应提交眉山仲裁委员会仲裁。</w:t>
      </w:r>
    </w:p>
    <w:p>
      <w:pPr>
        <w:tabs>
          <w:tab w:val="left" w:pos="0"/>
        </w:tabs>
        <w:spacing w:line="440" w:lineRule="exact"/>
        <w:ind w:firstLine="480" w:firstLineChars="200"/>
        <w:rPr>
          <w:rFonts w:hAnsi="宋体" w:cs="宋体"/>
          <w:sz w:val="24"/>
          <w:szCs w:val="24"/>
          <w:highlight w:val="none"/>
        </w:rPr>
      </w:pPr>
      <w:r>
        <w:rPr>
          <w:rFonts w:hint="eastAsia" w:hAnsi="宋体" w:cs="宋体"/>
          <w:sz w:val="24"/>
          <w:szCs w:val="24"/>
          <w:highlight w:val="none"/>
        </w:rPr>
        <w:t>2、在仲裁期间，乙方不得停止服务，并应保证政府采购合同的继续履行执行。</w:t>
      </w:r>
    </w:p>
    <w:p>
      <w:pPr>
        <w:pStyle w:val="6"/>
        <w:topLinePunct/>
        <w:spacing w:before="0" w:after="0" w:line="440" w:lineRule="exact"/>
        <w:rPr>
          <w:rFonts w:hAnsi="宋体" w:cs="宋体"/>
          <w:sz w:val="24"/>
          <w:szCs w:val="24"/>
          <w:highlight w:val="none"/>
        </w:rPr>
      </w:pPr>
      <w:bookmarkStart w:id="100" w:name="_Toc238984981"/>
      <w:bookmarkStart w:id="101" w:name="_Toc185395255"/>
      <w:bookmarkStart w:id="102" w:name="_Toc239568424"/>
      <w:bookmarkStart w:id="103" w:name="_Toc225244858"/>
      <w:bookmarkStart w:id="104" w:name="_Toc225670757"/>
      <w:bookmarkStart w:id="105" w:name="_Toc232492934"/>
      <w:bookmarkStart w:id="106" w:name="_Toc225654650"/>
      <w:bookmarkStart w:id="107" w:name="_Toc251768868"/>
      <w:bookmarkStart w:id="108" w:name="_Toc211854455"/>
      <w:bookmarkStart w:id="109" w:name="_Toc241833909"/>
      <w:bookmarkStart w:id="110" w:name="_Toc286993793"/>
      <w:bookmarkStart w:id="111" w:name="_Toc211911354"/>
      <w:bookmarkStart w:id="112" w:name="_Toc283019219"/>
      <w:bookmarkStart w:id="113" w:name="_Toc247334847"/>
      <w:bookmarkStart w:id="114" w:name="_Toc237145412"/>
      <w:bookmarkStart w:id="115" w:name="_Toc212019600"/>
      <w:bookmarkStart w:id="116" w:name="_Toc282696231"/>
      <w:bookmarkStart w:id="117" w:name="_Toc239233920"/>
      <w:r>
        <w:rPr>
          <w:rFonts w:hint="eastAsia"/>
          <w:sz w:val="24"/>
          <w:szCs w:val="24"/>
          <w:highlight w:val="none"/>
        </w:rPr>
        <w:t>十三、合同</w:t>
      </w:r>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r>
        <w:rPr>
          <w:rFonts w:hint="eastAsia" w:hAnsi="宋体" w:cs="宋体"/>
          <w:sz w:val="24"/>
          <w:szCs w:val="24"/>
          <w:highlight w:val="none"/>
        </w:rPr>
        <w:t>生效及其他</w:t>
      </w:r>
    </w:p>
    <w:p>
      <w:pPr>
        <w:pStyle w:val="50"/>
        <w:spacing w:line="440" w:lineRule="exact"/>
        <w:ind w:firstLine="480"/>
        <w:rPr>
          <w:rFonts w:hAnsi="宋体" w:cs="宋体"/>
          <w:sz w:val="24"/>
          <w:szCs w:val="24"/>
          <w:highlight w:val="none"/>
        </w:rPr>
      </w:pPr>
      <w:r>
        <w:rPr>
          <w:rFonts w:hint="eastAsia" w:hAnsi="宋体" w:cs="宋体"/>
          <w:sz w:val="24"/>
          <w:szCs w:val="24"/>
          <w:highlight w:val="none"/>
        </w:rPr>
        <w:t>1、合同经双方法定代表人或授权委托代理人签字并加盖单位公章后生效。</w:t>
      </w:r>
    </w:p>
    <w:p>
      <w:pPr>
        <w:pStyle w:val="50"/>
        <w:spacing w:line="440" w:lineRule="exact"/>
        <w:ind w:firstLine="480"/>
        <w:rPr>
          <w:rFonts w:hAnsi="宋体" w:cs="宋体"/>
          <w:sz w:val="24"/>
          <w:szCs w:val="24"/>
          <w:highlight w:val="none"/>
        </w:rPr>
      </w:pPr>
      <w:r>
        <w:rPr>
          <w:rFonts w:hint="eastAsia" w:hAnsi="宋体" w:cs="宋体"/>
          <w:sz w:val="24"/>
          <w:szCs w:val="24"/>
          <w:highlight w:val="none"/>
        </w:rPr>
        <w:t>2、合同执行中涉及采购资金和采购内容修改或补充的，须经政府采购监管部门审批，并签书面补充协议报政府采购监督管理部门备案，方可作为主合同不可分割的一部分。</w:t>
      </w:r>
    </w:p>
    <w:p>
      <w:pPr>
        <w:pStyle w:val="50"/>
        <w:spacing w:line="440" w:lineRule="exact"/>
        <w:ind w:firstLine="480"/>
        <w:rPr>
          <w:rFonts w:hAnsi="宋体" w:cs="宋体"/>
          <w:sz w:val="24"/>
          <w:szCs w:val="24"/>
          <w:highlight w:val="none"/>
        </w:rPr>
      </w:pPr>
      <w:r>
        <w:rPr>
          <w:rFonts w:hint="eastAsia" w:hAnsi="宋体" w:cs="宋体"/>
          <w:sz w:val="24"/>
          <w:szCs w:val="24"/>
          <w:highlight w:val="none"/>
        </w:rPr>
        <w:t>3、本合同一式XX份，自双方签章之日起起效。甲方XX份，乙方XX份，政府采购代理机构XX份，同级财政部门备案XX份，具有同等法律效力。</w:t>
      </w:r>
    </w:p>
    <w:p>
      <w:pPr>
        <w:pStyle w:val="6"/>
        <w:topLinePunct/>
        <w:spacing w:before="0" w:after="0" w:line="440" w:lineRule="exact"/>
        <w:rPr>
          <w:rFonts w:hAnsi="宋体" w:cs="宋体"/>
          <w:sz w:val="24"/>
          <w:szCs w:val="24"/>
          <w:highlight w:val="none"/>
        </w:rPr>
      </w:pPr>
      <w:r>
        <w:rPr>
          <w:rFonts w:hint="eastAsia"/>
          <w:sz w:val="24"/>
          <w:szCs w:val="24"/>
          <w:highlight w:val="none"/>
        </w:rPr>
        <w:t>十四、附件</w:t>
      </w:r>
    </w:p>
    <w:p>
      <w:pPr>
        <w:pStyle w:val="50"/>
        <w:spacing w:line="440" w:lineRule="exact"/>
        <w:ind w:firstLine="480"/>
        <w:rPr>
          <w:rFonts w:hAnsi="宋体" w:cs="宋体"/>
          <w:sz w:val="24"/>
          <w:szCs w:val="24"/>
          <w:highlight w:val="none"/>
        </w:rPr>
      </w:pPr>
      <w:r>
        <w:rPr>
          <w:rFonts w:hint="eastAsia" w:hAnsi="宋体" w:cs="宋体"/>
          <w:sz w:val="24"/>
          <w:szCs w:val="24"/>
          <w:highlight w:val="none"/>
        </w:rPr>
        <w:t>1、项目招标文件</w:t>
      </w:r>
    </w:p>
    <w:p>
      <w:pPr>
        <w:pStyle w:val="50"/>
        <w:spacing w:line="440" w:lineRule="exact"/>
        <w:ind w:firstLine="480"/>
        <w:rPr>
          <w:rFonts w:hAnsi="宋体" w:cs="宋体"/>
          <w:sz w:val="24"/>
          <w:szCs w:val="24"/>
          <w:highlight w:val="none"/>
        </w:rPr>
      </w:pPr>
      <w:r>
        <w:rPr>
          <w:rFonts w:hint="eastAsia" w:hAnsi="宋体" w:cs="宋体"/>
          <w:sz w:val="24"/>
          <w:szCs w:val="24"/>
          <w:highlight w:val="none"/>
        </w:rPr>
        <w:t>2、项目修改澄清文件</w:t>
      </w:r>
    </w:p>
    <w:p>
      <w:pPr>
        <w:pStyle w:val="50"/>
        <w:spacing w:line="440" w:lineRule="exact"/>
        <w:ind w:firstLine="480"/>
        <w:rPr>
          <w:rFonts w:hAnsi="宋体" w:cs="宋体"/>
          <w:sz w:val="24"/>
          <w:szCs w:val="24"/>
          <w:highlight w:val="none"/>
        </w:rPr>
      </w:pPr>
      <w:r>
        <w:rPr>
          <w:rFonts w:hint="eastAsia" w:hAnsi="宋体" w:cs="宋体"/>
          <w:sz w:val="24"/>
          <w:szCs w:val="24"/>
          <w:highlight w:val="none"/>
        </w:rPr>
        <w:t>3、项目投标文件</w:t>
      </w:r>
    </w:p>
    <w:p>
      <w:pPr>
        <w:pStyle w:val="50"/>
        <w:spacing w:line="440" w:lineRule="exact"/>
        <w:ind w:firstLine="480"/>
        <w:rPr>
          <w:rFonts w:hAnsi="宋体" w:cs="宋体"/>
          <w:sz w:val="24"/>
          <w:szCs w:val="24"/>
          <w:highlight w:val="none"/>
        </w:rPr>
      </w:pPr>
      <w:r>
        <w:rPr>
          <w:rFonts w:hint="eastAsia" w:hAnsi="宋体" w:cs="宋体"/>
          <w:sz w:val="24"/>
          <w:szCs w:val="24"/>
          <w:highlight w:val="none"/>
        </w:rPr>
        <w:t>4、成交通知书</w:t>
      </w:r>
    </w:p>
    <w:p>
      <w:pPr>
        <w:pStyle w:val="50"/>
        <w:spacing w:line="440" w:lineRule="exact"/>
        <w:ind w:firstLine="480"/>
        <w:rPr>
          <w:rFonts w:hAnsi="宋体" w:cs="宋体"/>
          <w:sz w:val="24"/>
          <w:szCs w:val="24"/>
          <w:highlight w:val="none"/>
        </w:rPr>
      </w:pPr>
      <w:r>
        <w:rPr>
          <w:rFonts w:hint="eastAsia" w:hAnsi="宋体" w:cs="宋体"/>
          <w:sz w:val="24"/>
          <w:szCs w:val="24"/>
          <w:highlight w:val="none"/>
        </w:rPr>
        <w:t>5、其他</w:t>
      </w:r>
    </w:p>
    <w:p>
      <w:pPr>
        <w:spacing w:line="440" w:lineRule="exact"/>
        <w:rPr>
          <w:rFonts w:hAnsi="宋体" w:cs="宋体"/>
          <w:sz w:val="24"/>
          <w:szCs w:val="24"/>
          <w:highlight w:val="none"/>
        </w:rPr>
      </w:pPr>
    </w:p>
    <w:p>
      <w:pPr>
        <w:spacing w:line="440" w:lineRule="exact"/>
        <w:ind w:firstLine="480" w:firstLineChars="200"/>
        <w:rPr>
          <w:rFonts w:hAnsi="宋体" w:cs="宋体"/>
          <w:sz w:val="24"/>
          <w:szCs w:val="24"/>
          <w:highlight w:val="none"/>
        </w:rPr>
      </w:pPr>
      <w:r>
        <w:rPr>
          <w:rFonts w:hint="eastAsia" w:hAnsi="宋体" w:cs="宋体"/>
          <w:sz w:val="24"/>
          <w:szCs w:val="24"/>
          <w:highlight w:val="none"/>
        </w:rPr>
        <w:t xml:space="preserve">甲方：   (盖章)   </w:t>
      </w:r>
      <w:r>
        <w:rPr>
          <w:rFonts w:hint="eastAsia" w:hAnsi="宋体" w:cs="宋体"/>
          <w:sz w:val="24"/>
          <w:szCs w:val="24"/>
          <w:highlight w:val="none"/>
        </w:rPr>
        <w:tab/>
      </w:r>
      <w:r>
        <w:rPr>
          <w:rFonts w:hint="eastAsia" w:hAnsi="宋体" w:cs="宋体"/>
          <w:sz w:val="24"/>
          <w:szCs w:val="24"/>
          <w:highlight w:val="none"/>
        </w:rPr>
        <w:tab/>
      </w:r>
      <w:r>
        <w:rPr>
          <w:rFonts w:hint="eastAsia" w:hAnsi="宋体" w:cs="宋体"/>
          <w:sz w:val="24"/>
          <w:szCs w:val="24"/>
          <w:highlight w:val="none"/>
        </w:rPr>
        <w:tab/>
      </w:r>
      <w:r>
        <w:rPr>
          <w:rFonts w:hint="eastAsia" w:hAnsi="宋体" w:cs="宋体"/>
          <w:sz w:val="24"/>
          <w:szCs w:val="24"/>
          <w:highlight w:val="none"/>
        </w:rPr>
        <w:t>乙方：   (盖章)</w:t>
      </w:r>
    </w:p>
    <w:p>
      <w:pPr>
        <w:spacing w:line="440" w:lineRule="exact"/>
        <w:ind w:firstLine="480" w:firstLineChars="200"/>
        <w:rPr>
          <w:rFonts w:hAnsi="宋体" w:cs="宋体"/>
          <w:sz w:val="24"/>
          <w:szCs w:val="24"/>
          <w:highlight w:val="none"/>
        </w:rPr>
      </w:pPr>
      <w:r>
        <w:rPr>
          <w:rFonts w:hint="eastAsia" w:hAnsi="宋体" w:cs="宋体"/>
          <w:sz w:val="24"/>
          <w:szCs w:val="24"/>
          <w:highlight w:val="none"/>
        </w:rPr>
        <w:t>法定代表人(被授权人)：法定代表人(被授权人)：</w:t>
      </w:r>
    </w:p>
    <w:p>
      <w:pPr>
        <w:spacing w:line="440" w:lineRule="exact"/>
        <w:ind w:firstLine="480" w:firstLineChars="200"/>
        <w:rPr>
          <w:rFonts w:hAnsi="宋体" w:cs="宋体"/>
          <w:sz w:val="24"/>
          <w:szCs w:val="24"/>
          <w:highlight w:val="none"/>
        </w:rPr>
      </w:pPr>
      <w:r>
        <w:rPr>
          <w:rFonts w:hint="eastAsia" w:hAnsi="宋体" w:cs="宋体"/>
          <w:sz w:val="24"/>
          <w:szCs w:val="24"/>
          <w:highlight w:val="none"/>
        </w:rPr>
        <w:t>地址：地址：</w:t>
      </w:r>
    </w:p>
    <w:p>
      <w:pPr>
        <w:spacing w:line="440" w:lineRule="exact"/>
        <w:ind w:firstLine="480" w:firstLineChars="200"/>
        <w:rPr>
          <w:rFonts w:hAnsi="宋体" w:cs="宋体"/>
          <w:sz w:val="24"/>
          <w:szCs w:val="24"/>
          <w:highlight w:val="none"/>
        </w:rPr>
      </w:pPr>
      <w:r>
        <w:rPr>
          <w:rFonts w:hint="eastAsia" w:hAnsi="宋体" w:cs="宋体"/>
          <w:sz w:val="24"/>
          <w:szCs w:val="24"/>
          <w:highlight w:val="none"/>
        </w:rPr>
        <w:t>开户银行：开户银行：</w:t>
      </w:r>
    </w:p>
    <w:p>
      <w:pPr>
        <w:spacing w:line="440" w:lineRule="exact"/>
        <w:ind w:firstLine="480" w:firstLineChars="200"/>
        <w:rPr>
          <w:rFonts w:hAnsi="宋体" w:cs="宋体"/>
          <w:sz w:val="24"/>
          <w:szCs w:val="24"/>
          <w:highlight w:val="none"/>
        </w:rPr>
      </w:pPr>
      <w:r>
        <w:rPr>
          <w:rFonts w:hint="eastAsia" w:hAnsi="宋体" w:cs="宋体"/>
          <w:sz w:val="24"/>
          <w:szCs w:val="24"/>
          <w:highlight w:val="none"/>
        </w:rPr>
        <w:t>账号：账号：</w:t>
      </w:r>
    </w:p>
    <w:p>
      <w:pPr>
        <w:spacing w:line="440" w:lineRule="exact"/>
        <w:ind w:firstLine="480" w:firstLineChars="200"/>
        <w:rPr>
          <w:rFonts w:hAnsi="宋体" w:cs="宋体"/>
          <w:sz w:val="24"/>
          <w:szCs w:val="24"/>
          <w:highlight w:val="none"/>
        </w:rPr>
      </w:pPr>
      <w:r>
        <w:rPr>
          <w:rFonts w:hint="eastAsia" w:hAnsi="宋体" w:cs="宋体"/>
          <w:sz w:val="24"/>
          <w:szCs w:val="24"/>
          <w:highlight w:val="none"/>
        </w:rPr>
        <w:t>电话：电话：</w:t>
      </w:r>
    </w:p>
    <w:p>
      <w:pPr>
        <w:spacing w:line="440" w:lineRule="exact"/>
        <w:ind w:firstLine="480" w:firstLineChars="200"/>
        <w:rPr>
          <w:rFonts w:hAnsi="宋体" w:cs="宋体"/>
          <w:sz w:val="24"/>
          <w:szCs w:val="24"/>
          <w:highlight w:val="none"/>
        </w:rPr>
      </w:pPr>
      <w:r>
        <w:rPr>
          <w:rFonts w:hint="eastAsia" w:hAnsi="宋体" w:cs="宋体"/>
          <w:sz w:val="24"/>
          <w:szCs w:val="24"/>
          <w:highlight w:val="none"/>
        </w:rPr>
        <w:t>传真：传真：</w:t>
      </w:r>
    </w:p>
    <w:p>
      <w:pPr>
        <w:spacing w:line="440" w:lineRule="exact"/>
        <w:rPr>
          <w:color w:val="000080"/>
          <w:sz w:val="24"/>
          <w:szCs w:val="24"/>
          <w:highlight w:val="none"/>
        </w:rPr>
      </w:pPr>
      <w:r>
        <w:rPr>
          <w:rFonts w:hint="eastAsia" w:cs="宋体"/>
          <w:sz w:val="24"/>
          <w:szCs w:val="24"/>
          <w:highlight w:val="none"/>
        </w:rPr>
        <w:t>签约日期：XX年XX月XX日</w:t>
      </w:r>
      <w:r>
        <w:rPr>
          <w:rFonts w:hint="eastAsia" w:cs="宋体"/>
          <w:sz w:val="24"/>
          <w:szCs w:val="24"/>
          <w:highlight w:val="none"/>
        </w:rPr>
        <w:tab/>
      </w:r>
      <w:r>
        <w:rPr>
          <w:rFonts w:hint="eastAsia" w:cs="宋体"/>
          <w:sz w:val="24"/>
          <w:szCs w:val="24"/>
          <w:highlight w:val="none"/>
        </w:rPr>
        <w:tab/>
      </w:r>
      <w:r>
        <w:rPr>
          <w:rFonts w:hint="eastAsia" w:cs="宋体"/>
          <w:sz w:val="24"/>
          <w:szCs w:val="24"/>
          <w:highlight w:val="none"/>
        </w:rPr>
        <w:tab/>
      </w:r>
      <w:r>
        <w:rPr>
          <w:rFonts w:hint="eastAsia" w:cs="宋体"/>
          <w:sz w:val="24"/>
          <w:szCs w:val="24"/>
          <w:highlight w:val="none"/>
        </w:rPr>
        <w:t>签约日期：XX年XX月XX日</w:t>
      </w:r>
    </w:p>
    <w:p>
      <w:pPr>
        <w:spacing w:line="440" w:lineRule="exact"/>
        <w:rPr>
          <w:sz w:val="24"/>
          <w:szCs w:val="24"/>
          <w:highlight w:val="none"/>
        </w:rPr>
      </w:pPr>
    </w:p>
    <w:sectPr>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S Mincho">
    <w:panose1 w:val="02020609040205080304"/>
    <w:charset w:val="80"/>
    <w:family w:val="modern"/>
    <w:pitch w:val="default"/>
    <w:sig w:usb0="A00002BF" w:usb1="68C7FCFB" w:usb2="00000010" w:usb3="00000000" w:csb0="4002009F" w:csb1="DFD70000"/>
  </w:font>
  <w:font w:name="方正小标宋简体">
    <w:altName w:val="Arial Unicode MS"/>
    <w:panose1 w:val="02010601030101010101"/>
    <w:charset w:val="86"/>
    <w:family w:val="auto"/>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Songti SC Regular">
    <w:altName w:val="宋体"/>
    <w:panose1 w:val="02010800040101010101"/>
    <w:charset w:val="86"/>
    <w:family w:val="auto"/>
    <w:pitch w:val="default"/>
    <w:sig w:usb0="00000000" w:usb1="00000000" w:usb2="00000000" w:usb3="00000000" w:csb0="00040000" w:csb1="0000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center"/>
      <w:rPr>
        <w:sz w:val="28"/>
      </w:rPr>
    </w:pPr>
    <w:r>
      <w:rPr>
        <w:sz w:val="28"/>
      </w:rPr>
      <w:pict>
        <v:shape id="_x0000_s4098" o:spid="_x0000_s4098"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13"/>
                </w:pPr>
                <w:r>
                  <w:fldChar w:fldCharType="begin"/>
                </w:r>
                <w:r>
                  <w:instrText xml:space="preserve"> PAGE  \* MERGEFORMAT </w:instrText>
                </w:r>
                <w:r>
                  <w:fldChar w:fldCharType="separate"/>
                </w:r>
                <w:r>
                  <w:t>- 1 -</w:t>
                </w:r>
                <w:r>
                  <w:fldChar w:fldCharType="end"/>
                </w:r>
              </w:p>
            </w:txbxContent>
          </v:textbox>
        </v:shape>
      </w:pict>
    </w:r>
  </w:p>
  <w:p>
    <w:pPr>
      <w:pStyle w:val="1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2074AA"/>
    <w:multiLevelType w:val="singleLevel"/>
    <w:tmpl w:val="122074AA"/>
    <w:lvl w:ilvl="0" w:tentative="0">
      <w:start w:val="10"/>
      <w:numFmt w:val="chineseCounting"/>
      <w:suff w:val="nothing"/>
      <w:lvlText w:val="%1、"/>
      <w:lvlJc w:val="left"/>
      <w:rPr>
        <w:rFonts w:hint="eastAsia"/>
      </w:rPr>
    </w:lvl>
  </w:abstractNum>
  <w:abstractNum w:abstractNumId="1">
    <w:nsid w:val="1CA2CD65"/>
    <w:multiLevelType w:val="singleLevel"/>
    <w:tmpl w:val="1CA2CD65"/>
    <w:lvl w:ilvl="0" w:tentative="0">
      <w:start w:val="1"/>
      <w:numFmt w:val="decimal"/>
      <w:suff w:val="nothing"/>
      <w:lvlText w:val="%1、"/>
      <w:lvlJc w:val="left"/>
    </w:lvl>
  </w:abstractNum>
  <w:abstractNum w:abstractNumId="2">
    <w:nsid w:val="3EBB3C91"/>
    <w:multiLevelType w:val="multilevel"/>
    <w:tmpl w:val="3EBB3C9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rPr>
        <w:rFonts w:cs="Times New Roman"/>
      </w:rPr>
    </w:lvl>
    <w:lvl w:ilvl="3" w:tentative="0">
      <w:start w:val="0"/>
      <w:numFmt w:val="none"/>
      <w:lvlText w:val=""/>
      <w:lvlJc w:val="left"/>
      <w:pPr>
        <w:tabs>
          <w:tab w:val="left" w:pos="360"/>
        </w:tabs>
      </w:pPr>
      <w:rPr>
        <w:rFonts w:cs="Times New Roman"/>
      </w:rPr>
    </w:lvl>
    <w:lvl w:ilvl="4" w:tentative="0">
      <w:start w:val="0"/>
      <w:numFmt w:val="decimal"/>
      <w:pStyle w:val="57"/>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abstractNum w:abstractNumId="3">
    <w:nsid w:val="47CAABA4"/>
    <w:multiLevelType w:val="singleLevel"/>
    <w:tmpl w:val="47CAABA4"/>
    <w:lvl w:ilvl="0" w:tentative="0">
      <w:start w:val="1"/>
      <w:numFmt w:val="decimal"/>
      <w:suff w:val="nothing"/>
      <w:lvlText w:val="%1、"/>
      <w:lvlJc w:val="left"/>
    </w:lvl>
  </w:abstractNum>
  <w:abstractNum w:abstractNumId="4">
    <w:nsid w:val="61408B40"/>
    <w:multiLevelType w:val="singleLevel"/>
    <w:tmpl w:val="61408B40"/>
    <w:lvl w:ilvl="0" w:tentative="0">
      <w:start w:val="1"/>
      <w:numFmt w:val="decimal"/>
      <w:suff w:val="nothing"/>
      <w:lvlText w:val="%1、"/>
      <w:lvlJc w:val="left"/>
      <w:pPr>
        <w:tabs>
          <w:tab w:val="left" w:pos="0"/>
        </w:tabs>
        <w:ind w:left="0" w:firstLine="0"/>
      </w:pPr>
    </w:lvl>
  </w:abstractNum>
  <w:abstractNum w:abstractNumId="5">
    <w:nsid w:val="61408F80"/>
    <w:multiLevelType w:val="singleLevel"/>
    <w:tmpl w:val="61408F80"/>
    <w:lvl w:ilvl="0" w:tentative="0">
      <w:start w:val="1"/>
      <w:numFmt w:val="decimal"/>
      <w:suff w:val="nothing"/>
      <w:lvlText w:val="%1、"/>
      <w:lvlJc w:val="left"/>
      <w:pPr>
        <w:tabs>
          <w:tab w:val="left" w:pos="0"/>
        </w:tabs>
        <w:ind w:left="0" w:firstLine="0"/>
      </w:pPr>
    </w:lvl>
  </w:abstractNum>
  <w:abstractNum w:abstractNumId="6">
    <w:nsid w:val="6140906C"/>
    <w:multiLevelType w:val="singleLevel"/>
    <w:tmpl w:val="6140906C"/>
    <w:lvl w:ilvl="0" w:tentative="0">
      <w:start w:val="1"/>
      <w:numFmt w:val="decimal"/>
      <w:suff w:val="nothing"/>
      <w:lvlText w:val="%1、"/>
      <w:lvlJc w:val="left"/>
      <w:pPr>
        <w:tabs>
          <w:tab w:val="left" w:pos="0"/>
        </w:tabs>
        <w:ind w:left="0" w:firstLine="0"/>
      </w:pPr>
    </w:lvl>
  </w:abstractNum>
  <w:abstractNum w:abstractNumId="7">
    <w:nsid w:val="6140AD76"/>
    <w:multiLevelType w:val="singleLevel"/>
    <w:tmpl w:val="6140AD76"/>
    <w:lvl w:ilvl="0" w:tentative="0">
      <w:start w:val="1"/>
      <w:numFmt w:val="decimal"/>
      <w:suff w:val="nothing"/>
      <w:lvlText w:val="%1、"/>
      <w:lvlJc w:val="left"/>
      <w:pPr>
        <w:tabs>
          <w:tab w:val="left" w:pos="0"/>
        </w:tabs>
        <w:ind w:left="0" w:firstLine="0"/>
      </w:pPr>
    </w:lvl>
  </w:abstractNum>
  <w:abstractNum w:abstractNumId="8">
    <w:nsid w:val="615E5FDF"/>
    <w:multiLevelType w:val="singleLevel"/>
    <w:tmpl w:val="615E5FDF"/>
    <w:lvl w:ilvl="0" w:tentative="0">
      <w:start w:val="1"/>
      <w:numFmt w:val="decimal"/>
      <w:suff w:val="nothing"/>
      <w:lvlText w:val="%1、"/>
      <w:lvlJc w:val="left"/>
      <w:pPr>
        <w:tabs>
          <w:tab w:val="left" w:pos="0"/>
        </w:tabs>
        <w:ind w:left="0" w:firstLine="0"/>
      </w:pPr>
    </w:lvl>
  </w:abstractNum>
  <w:abstractNum w:abstractNumId="9">
    <w:nsid w:val="615E705E"/>
    <w:multiLevelType w:val="singleLevel"/>
    <w:tmpl w:val="615E705E"/>
    <w:lvl w:ilvl="0" w:tentative="0">
      <w:start w:val="1"/>
      <w:numFmt w:val="decimal"/>
      <w:suff w:val="nothing"/>
      <w:lvlText w:val="%1、"/>
      <w:lvlJc w:val="left"/>
      <w:pPr>
        <w:tabs>
          <w:tab w:val="left" w:pos="0"/>
        </w:tabs>
        <w:ind w:left="210" w:firstLine="0"/>
      </w:pPr>
    </w:lvl>
  </w:abstractNum>
  <w:abstractNum w:abstractNumId="10">
    <w:nsid w:val="6F58998A"/>
    <w:multiLevelType w:val="singleLevel"/>
    <w:tmpl w:val="6F58998A"/>
    <w:lvl w:ilvl="0" w:tentative="0">
      <w:start w:val="5"/>
      <w:numFmt w:val="decimal"/>
      <w:suff w:val="nothing"/>
      <w:lvlText w:val="%1、"/>
      <w:lvlJc w:val="left"/>
    </w:lvl>
  </w:abstractNum>
  <w:num w:numId="1">
    <w:abstractNumId w:val="2"/>
  </w:num>
  <w:num w:numId="2">
    <w:abstractNumId w:val="3"/>
  </w:num>
  <w:num w:numId="3">
    <w:abstractNumId w:val="0"/>
  </w:num>
  <w:num w:numId="4">
    <w:abstractNumId w:val="8"/>
  </w:num>
  <w:num w:numId="5">
    <w:abstractNumId w:val="1"/>
  </w:num>
  <w:num w:numId="6">
    <w:abstractNumId w:val="7"/>
  </w:num>
  <w:num w:numId="7">
    <w:abstractNumId w:val="4"/>
  </w:num>
  <w:num w:numId="8">
    <w:abstractNumId w:val="5"/>
  </w:num>
  <w:num w:numId="9">
    <w:abstractNumId w:val="6"/>
  </w:num>
  <w:num w:numId="10">
    <w:abstractNumId w:val="9"/>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2"/>
  </w:compat>
  <w:rsids>
    <w:rsidRoot w:val="0066788C"/>
    <w:rsid w:val="00001F32"/>
    <w:rsid w:val="0000280A"/>
    <w:rsid w:val="00002817"/>
    <w:rsid w:val="000029D0"/>
    <w:rsid w:val="00003347"/>
    <w:rsid w:val="0000533F"/>
    <w:rsid w:val="000053BE"/>
    <w:rsid w:val="00011650"/>
    <w:rsid w:val="000129E8"/>
    <w:rsid w:val="00014B5E"/>
    <w:rsid w:val="00014D58"/>
    <w:rsid w:val="00015C84"/>
    <w:rsid w:val="00022316"/>
    <w:rsid w:val="00024112"/>
    <w:rsid w:val="00034A32"/>
    <w:rsid w:val="000369A9"/>
    <w:rsid w:val="00036BE3"/>
    <w:rsid w:val="00037127"/>
    <w:rsid w:val="0003781A"/>
    <w:rsid w:val="00040299"/>
    <w:rsid w:val="00040310"/>
    <w:rsid w:val="00041455"/>
    <w:rsid w:val="00041DA4"/>
    <w:rsid w:val="00041E4B"/>
    <w:rsid w:val="00042DA7"/>
    <w:rsid w:val="00043156"/>
    <w:rsid w:val="0004380A"/>
    <w:rsid w:val="00043B7B"/>
    <w:rsid w:val="000444CD"/>
    <w:rsid w:val="000450B8"/>
    <w:rsid w:val="0004550B"/>
    <w:rsid w:val="00047C7B"/>
    <w:rsid w:val="00050EC5"/>
    <w:rsid w:val="000550BB"/>
    <w:rsid w:val="000554E3"/>
    <w:rsid w:val="00060050"/>
    <w:rsid w:val="000622A3"/>
    <w:rsid w:val="000629C0"/>
    <w:rsid w:val="000637E5"/>
    <w:rsid w:val="00066332"/>
    <w:rsid w:val="00066C5B"/>
    <w:rsid w:val="0006763F"/>
    <w:rsid w:val="00071A90"/>
    <w:rsid w:val="00072811"/>
    <w:rsid w:val="00072CE1"/>
    <w:rsid w:val="00074159"/>
    <w:rsid w:val="00075C05"/>
    <w:rsid w:val="00076BA9"/>
    <w:rsid w:val="00081559"/>
    <w:rsid w:val="00082D9A"/>
    <w:rsid w:val="000840AA"/>
    <w:rsid w:val="00090C1A"/>
    <w:rsid w:val="00091CEB"/>
    <w:rsid w:val="000934FC"/>
    <w:rsid w:val="00094E68"/>
    <w:rsid w:val="000A0EBE"/>
    <w:rsid w:val="000A16E1"/>
    <w:rsid w:val="000A27CE"/>
    <w:rsid w:val="000A41A6"/>
    <w:rsid w:val="000A68B9"/>
    <w:rsid w:val="000B00B2"/>
    <w:rsid w:val="000B1AE5"/>
    <w:rsid w:val="000B1C2F"/>
    <w:rsid w:val="000B3042"/>
    <w:rsid w:val="000B4DB3"/>
    <w:rsid w:val="000B5132"/>
    <w:rsid w:val="000B6DBA"/>
    <w:rsid w:val="000B731E"/>
    <w:rsid w:val="000B75E6"/>
    <w:rsid w:val="000C140C"/>
    <w:rsid w:val="000C2507"/>
    <w:rsid w:val="000C39FA"/>
    <w:rsid w:val="000C6399"/>
    <w:rsid w:val="000C7C94"/>
    <w:rsid w:val="000D0344"/>
    <w:rsid w:val="000D408C"/>
    <w:rsid w:val="000D47E2"/>
    <w:rsid w:val="000D5B97"/>
    <w:rsid w:val="000D62F1"/>
    <w:rsid w:val="000D6410"/>
    <w:rsid w:val="000E0CEC"/>
    <w:rsid w:val="000E307E"/>
    <w:rsid w:val="000E3C1A"/>
    <w:rsid w:val="000E51F7"/>
    <w:rsid w:val="000E5FE6"/>
    <w:rsid w:val="000E64E9"/>
    <w:rsid w:val="000E698F"/>
    <w:rsid w:val="000E78EF"/>
    <w:rsid w:val="000F2EDF"/>
    <w:rsid w:val="000F76DF"/>
    <w:rsid w:val="00101D5E"/>
    <w:rsid w:val="00103D35"/>
    <w:rsid w:val="00105AA3"/>
    <w:rsid w:val="00110C32"/>
    <w:rsid w:val="00110F31"/>
    <w:rsid w:val="00112C97"/>
    <w:rsid w:val="001130C5"/>
    <w:rsid w:val="00113485"/>
    <w:rsid w:val="001152B5"/>
    <w:rsid w:val="00123D33"/>
    <w:rsid w:val="00131682"/>
    <w:rsid w:val="00133B70"/>
    <w:rsid w:val="00133DFF"/>
    <w:rsid w:val="0013478E"/>
    <w:rsid w:val="00134F7D"/>
    <w:rsid w:val="00135DE1"/>
    <w:rsid w:val="001409E8"/>
    <w:rsid w:val="00142164"/>
    <w:rsid w:val="0014222D"/>
    <w:rsid w:val="00142FD4"/>
    <w:rsid w:val="0014407E"/>
    <w:rsid w:val="001444F6"/>
    <w:rsid w:val="00146E3D"/>
    <w:rsid w:val="00147227"/>
    <w:rsid w:val="001501AD"/>
    <w:rsid w:val="00151588"/>
    <w:rsid w:val="0015196D"/>
    <w:rsid w:val="001553CA"/>
    <w:rsid w:val="00155713"/>
    <w:rsid w:val="001569F6"/>
    <w:rsid w:val="001575BE"/>
    <w:rsid w:val="00167586"/>
    <w:rsid w:val="00167741"/>
    <w:rsid w:val="00171EEF"/>
    <w:rsid w:val="0017761F"/>
    <w:rsid w:val="00180682"/>
    <w:rsid w:val="001830B7"/>
    <w:rsid w:val="00183A3E"/>
    <w:rsid w:val="0018432A"/>
    <w:rsid w:val="00187C61"/>
    <w:rsid w:val="00187F28"/>
    <w:rsid w:val="00190BBD"/>
    <w:rsid w:val="00191FF6"/>
    <w:rsid w:val="00195091"/>
    <w:rsid w:val="0019591F"/>
    <w:rsid w:val="001975CA"/>
    <w:rsid w:val="001A0685"/>
    <w:rsid w:val="001A1D3C"/>
    <w:rsid w:val="001A215D"/>
    <w:rsid w:val="001A3E81"/>
    <w:rsid w:val="001A4CE8"/>
    <w:rsid w:val="001A6C9B"/>
    <w:rsid w:val="001B0B9D"/>
    <w:rsid w:val="001B1CE1"/>
    <w:rsid w:val="001B2D7B"/>
    <w:rsid w:val="001B3149"/>
    <w:rsid w:val="001B4B98"/>
    <w:rsid w:val="001C08DD"/>
    <w:rsid w:val="001C0BE9"/>
    <w:rsid w:val="001C1F19"/>
    <w:rsid w:val="001C2869"/>
    <w:rsid w:val="001C2F13"/>
    <w:rsid w:val="001C6A6F"/>
    <w:rsid w:val="001C78FA"/>
    <w:rsid w:val="001D1243"/>
    <w:rsid w:val="001D1567"/>
    <w:rsid w:val="001D4F34"/>
    <w:rsid w:val="001D6A5A"/>
    <w:rsid w:val="001E08DC"/>
    <w:rsid w:val="001E271A"/>
    <w:rsid w:val="001E31BF"/>
    <w:rsid w:val="001E401B"/>
    <w:rsid w:val="001E4D84"/>
    <w:rsid w:val="001E6AA1"/>
    <w:rsid w:val="001F0436"/>
    <w:rsid w:val="001F1EEF"/>
    <w:rsid w:val="001F2B2F"/>
    <w:rsid w:val="001F3B39"/>
    <w:rsid w:val="001F68D7"/>
    <w:rsid w:val="001F7D4A"/>
    <w:rsid w:val="00200061"/>
    <w:rsid w:val="002052BC"/>
    <w:rsid w:val="00207281"/>
    <w:rsid w:val="00207389"/>
    <w:rsid w:val="00207902"/>
    <w:rsid w:val="00207D41"/>
    <w:rsid w:val="0021154E"/>
    <w:rsid w:val="00211F80"/>
    <w:rsid w:val="0021342E"/>
    <w:rsid w:val="00214B0B"/>
    <w:rsid w:val="0021587B"/>
    <w:rsid w:val="002167D4"/>
    <w:rsid w:val="002248D2"/>
    <w:rsid w:val="00225F3D"/>
    <w:rsid w:val="00227044"/>
    <w:rsid w:val="00231A41"/>
    <w:rsid w:val="00232372"/>
    <w:rsid w:val="00234EDD"/>
    <w:rsid w:val="002361E3"/>
    <w:rsid w:val="00237E63"/>
    <w:rsid w:val="00240637"/>
    <w:rsid w:val="00242D77"/>
    <w:rsid w:val="00244031"/>
    <w:rsid w:val="0024442E"/>
    <w:rsid w:val="00244CB9"/>
    <w:rsid w:val="002469B3"/>
    <w:rsid w:val="00250D74"/>
    <w:rsid w:val="0025194E"/>
    <w:rsid w:val="0025443C"/>
    <w:rsid w:val="00254D6F"/>
    <w:rsid w:val="002578E7"/>
    <w:rsid w:val="00261BB3"/>
    <w:rsid w:val="0026347F"/>
    <w:rsid w:val="00264C3D"/>
    <w:rsid w:val="00265ACA"/>
    <w:rsid w:val="00265D41"/>
    <w:rsid w:val="00267379"/>
    <w:rsid w:val="0027448B"/>
    <w:rsid w:val="00281CDD"/>
    <w:rsid w:val="002820F1"/>
    <w:rsid w:val="0028546F"/>
    <w:rsid w:val="00286211"/>
    <w:rsid w:val="0028705A"/>
    <w:rsid w:val="002908CF"/>
    <w:rsid w:val="00291DA5"/>
    <w:rsid w:val="00292EF8"/>
    <w:rsid w:val="00293CEF"/>
    <w:rsid w:val="00294FA4"/>
    <w:rsid w:val="002958E0"/>
    <w:rsid w:val="002A1CB0"/>
    <w:rsid w:val="002A236E"/>
    <w:rsid w:val="002A2E1D"/>
    <w:rsid w:val="002A5915"/>
    <w:rsid w:val="002A594A"/>
    <w:rsid w:val="002A6643"/>
    <w:rsid w:val="002B1C60"/>
    <w:rsid w:val="002B24BF"/>
    <w:rsid w:val="002B593F"/>
    <w:rsid w:val="002B5AF3"/>
    <w:rsid w:val="002C228A"/>
    <w:rsid w:val="002C54C5"/>
    <w:rsid w:val="002C586B"/>
    <w:rsid w:val="002D62AA"/>
    <w:rsid w:val="002D68DF"/>
    <w:rsid w:val="002D69E5"/>
    <w:rsid w:val="002D7664"/>
    <w:rsid w:val="002D7C2E"/>
    <w:rsid w:val="002D7FB5"/>
    <w:rsid w:val="002E11D9"/>
    <w:rsid w:val="002E32B4"/>
    <w:rsid w:val="002E3959"/>
    <w:rsid w:val="002E3AC8"/>
    <w:rsid w:val="002E54BF"/>
    <w:rsid w:val="002E5EDC"/>
    <w:rsid w:val="002E70D3"/>
    <w:rsid w:val="002F1C63"/>
    <w:rsid w:val="002F6A68"/>
    <w:rsid w:val="002F7C3C"/>
    <w:rsid w:val="0030136D"/>
    <w:rsid w:val="003034E2"/>
    <w:rsid w:val="00305A74"/>
    <w:rsid w:val="00305EE8"/>
    <w:rsid w:val="00310489"/>
    <w:rsid w:val="00310B08"/>
    <w:rsid w:val="003139F0"/>
    <w:rsid w:val="00315C6E"/>
    <w:rsid w:val="00316470"/>
    <w:rsid w:val="00317AD7"/>
    <w:rsid w:val="00320A8B"/>
    <w:rsid w:val="00320E18"/>
    <w:rsid w:val="00321AC2"/>
    <w:rsid w:val="00321C67"/>
    <w:rsid w:val="00323DF2"/>
    <w:rsid w:val="00325077"/>
    <w:rsid w:val="00325BDF"/>
    <w:rsid w:val="00326044"/>
    <w:rsid w:val="003269AE"/>
    <w:rsid w:val="00327BC4"/>
    <w:rsid w:val="003308B3"/>
    <w:rsid w:val="00334707"/>
    <w:rsid w:val="00337B50"/>
    <w:rsid w:val="00340B35"/>
    <w:rsid w:val="00341365"/>
    <w:rsid w:val="003431B1"/>
    <w:rsid w:val="00346B12"/>
    <w:rsid w:val="00346EBF"/>
    <w:rsid w:val="003574A9"/>
    <w:rsid w:val="00363CB2"/>
    <w:rsid w:val="00364BA8"/>
    <w:rsid w:val="00365856"/>
    <w:rsid w:val="00371933"/>
    <w:rsid w:val="0037209F"/>
    <w:rsid w:val="003738C7"/>
    <w:rsid w:val="00373ED1"/>
    <w:rsid w:val="00377533"/>
    <w:rsid w:val="00377908"/>
    <w:rsid w:val="00377BAC"/>
    <w:rsid w:val="0038009E"/>
    <w:rsid w:val="003805C3"/>
    <w:rsid w:val="00380F88"/>
    <w:rsid w:val="003811F6"/>
    <w:rsid w:val="00381F0C"/>
    <w:rsid w:val="0038209A"/>
    <w:rsid w:val="0038221B"/>
    <w:rsid w:val="00383E44"/>
    <w:rsid w:val="003841D1"/>
    <w:rsid w:val="00390FA8"/>
    <w:rsid w:val="00392DDD"/>
    <w:rsid w:val="00393D96"/>
    <w:rsid w:val="00393EA3"/>
    <w:rsid w:val="00395964"/>
    <w:rsid w:val="003972E3"/>
    <w:rsid w:val="00397D96"/>
    <w:rsid w:val="00397DBE"/>
    <w:rsid w:val="003A0946"/>
    <w:rsid w:val="003A22D4"/>
    <w:rsid w:val="003A3B55"/>
    <w:rsid w:val="003A3FB7"/>
    <w:rsid w:val="003A6040"/>
    <w:rsid w:val="003A689C"/>
    <w:rsid w:val="003B2ADA"/>
    <w:rsid w:val="003B3D6D"/>
    <w:rsid w:val="003B43B0"/>
    <w:rsid w:val="003B480E"/>
    <w:rsid w:val="003B55C1"/>
    <w:rsid w:val="003C1E10"/>
    <w:rsid w:val="003C36A1"/>
    <w:rsid w:val="003C3AB6"/>
    <w:rsid w:val="003C6F5C"/>
    <w:rsid w:val="003C709D"/>
    <w:rsid w:val="003C7569"/>
    <w:rsid w:val="003C7653"/>
    <w:rsid w:val="003D52F8"/>
    <w:rsid w:val="003D6D52"/>
    <w:rsid w:val="003D727B"/>
    <w:rsid w:val="003E016A"/>
    <w:rsid w:val="003E1CB7"/>
    <w:rsid w:val="003E41A5"/>
    <w:rsid w:val="003E726F"/>
    <w:rsid w:val="003E7BB9"/>
    <w:rsid w:val="003F1E38"/>
    <w:rsid w:val="003F5530"/>
    <w:rsid w:val="003F6146"/>
    <w:rsid w:val="0040219A"/>
    <w:rsid w:val="00404B6A"/>
    <w:rsid w:val="00406004"/>
    <w:rsid w:val="00407016"/>
    <w:rsid w:val="004079E2"/>
    <w:rsid w:val="00407EFB"/>
    <w:rsid w:val="004108CF"/>
    <w:rsid w:val="004118C0"/>
    <w:rsid w:val="004141AA"/>
    <w:rsid w:val="00415A95"/>
    <w:rsid w:val="00417C42"/>
    <w:rsid w:val="0042222B"/>
    <w:rsid w:val="0042290B"/>
    <w:rsid w:val="00422912"/>
    <w:rsid w:val="004229FB"/>
    <w:rsid w:val="00422F49"/>
    <w:rsid w:val="004240E0"/>
    <w:rsid w:val="00424D30"/>
    <w:rsid w:val="00425639"/>
    <w:rsid w:val="00431169"/>
    <w:rsid w:val="00432F9D"/>
    <w:rsid w:val="00434818"/>
    <w:rsid w:val="004361CA"/>
    <w:rsid w:val="004365DF"/>
    <w:rsid w:val="00436F72"/>
    <w:rsid w:val="0044051D"/>
    <w:rsid w:val="00440ABE"/>
    <w:rsid w:val="00444735"/>
    <w:rsid w:val="004460BF"/>
    <w:rsid w:val="004460D2"/>
    <w:rsid w:val="00446B60"/>
    <w:rsid w:val="00447EC4"/>
    <w:rsid w:val="0045135F"/>
    <w:rsid w:val="0045237D"/>
    <w:rsid w:val="004528AE"/>
    <w:rsid w:val="00454C77"/>
    <w:rsid w:val="00456B80"/>
    <w:rsid w:val="00457120"/>
    <w:rsid w:val="0046026A"/>
    <w:rsid w:val="00461D80"/>
    <w:rsid w:val="00466555"/>
    <w:rsid w:val="00470F5B"/>
    <w:rsid w:val="0047192A"/>
    <w:rsid w:val="0047220E"/>
    <w:rsid w:val="00472871"/>
    <w:rsid w:val="00472A54"/>
    <w:rsid w:val="004731BD"/>
    <w:rsid w:val="00475E07"/>
    <w:rsid w:val="0047700C"/>
    <w:rsid w:val="0048107E"/>
    <w:rsid w:val="00482500"/>
    <w:rsid w:val="0048258B"/>
    <w:rsid w:val="00484F23"/>
    <w:rsid w:val="004861CA"/>
    <w:rsid w:val="00486CED"/>
    <w:rsid w:val="00487C59"/>
    <w:rsid w:val="00487F42"/>
    <w:rsid w:val="00490E81"/>
    <w:rsid w:val="004916C5"/>
    <w:rsid w:val="00492805"/>
    <w:rsid w:val="004975A5"/>
    <w:rsid w:val="004A1320"/>
    <w:rsid w:val="004A19E8"/>
    <w:rsid w:val="004A2AF0"/>
    <w:rsid w:val="004A4E8C"/>
    <w:rsid w:val="004A73DE"/>
    <w:rsid w:val="004B305E"/>
    <w:rsid w:val="004B37EF"/>
    <w:rsid w:val="004B57A2"/>
    <w:rsid w:val="004B616D"/>
    <w:rsid w:val="004B7E49"/>
    <w:rsid w:val="004C0920"/>
    <w:rsid w:val="004C0CD7"/>
    <w:rsid w:val="004C1CE9"/>
    <w:rsid w:val="004C34E7"/>
    <w:rsid w:val="004D1A42"/>
    <w:rsid w:val="004D2638"/>
    <w:rsid w:val="004E0118"/>
    <w:rsid w:val="004E0493"/>
    <w:rsid w:val="004E0745"/>
    <w:rsid w:val="004E0E5D"/>
    <w:rsid w:val="004E253B"/>
    <w:rsid w:val="004E3BB1"/>
    <w:rsid w:val="004E5EE7"/>
    <w:rsid w:val="004E6D2A"/>
    <w:rsid w:val="004E7B35"/>
    <w:rsid w:val="004E7E1F"/>
    <w:rsid w:val="004F2D7A"/>
    <w:rsid w:val="004F4706"/>
    <w:rsid w:val="004F4D22"/>
    <w:rsid w:val="004F768C"/>
    <w:rsid w:val="0050120B"/>
    <w:rsid w:val="00502EF6"/>
    <w:rsid w:val="00504EC2"/>
    <w:rsid w:val="0050695B"/>
    <w:rsid w:val="00506D95"/>
    <w:rsid w:val="00511DCE"/>
    <w:rsid w:val="005121D0"/>
    <w:rsid w:val="00512665"/>
    <w:rsid w:val="005237A1"/>
    <w:rsid w:val="00523D0E"/>
    <w:rsid w:val="00523D84"/>
    <w:rsid w:val="005308C9"/>
    <w:rsid w:val="00530AC8"/>
    <w:rsid w:val="005328DC"/>
    <w:rsid w:val="0053316F"/>
    <w:rsid w:val="0053334A"/>
    <w:rsid w:val="00533E02"/>
    <w:rsid w:val="0053455D"/>
    <w:rsid w:val="00536EAE"/>
    <w:rsid w:val="005378B2"/>
    <w:rsid w:val="005404E2"/>
    <w:rsid w:val="0054632D"/>
    <w:rsid w:val="0055186D"/>
    <w:rsid w:val="00554BD6"/>
    <w:rsid w:val="00555A5B"/>
    <w:rsid w:val="005579DA"/>
    <w:rsid w:val="0056181F"/>
    <w:rsid w:val="00562A6C"/>
    <w:rsid w:val="00563F5C"/>
    <w:rsid w:val="00564E60"/>
    <w:rsid w:val="00564FDC"/>
    <w:rsid w:val="00570891"/>
    <w:rsid w:val="00571CF0"/>
    <w:rsid w:val="00573499"/>
    <w:rsid w:val="00573A3D"/>
    <w:rsid w:val="005770A9"/>
    <w:rsid w:val="00584CE3"/>
    <w:rsid w:val="00584DB4"/>
    <w:rsid w:val="005904F1"/>
    <w:rsid w:val="00590866"/>
    <w:rsid w:val="00594F62"/>
    <w:rsid w:val="005965B7"/>
    <w:rsid w:val="0059679C"/>
    <w:rsid w:val="00596AD7"/>
    <w:rsid w:val="00597A56"/>
    <w:rsid w:val="005A031F"/>
    <w:rsid w:val="005A0878"/>
    <w:rsid w:val="005A3D0C"/>
    <w:rsid w:val="005A53F9"/>
    <w:rsid w:val="005A5D00"/>
    <w:rsid w:val="005A6C73"/>
    <w:rsid w:val="005B1D29"/>
    <w:rsid w:val="005B59BA"/>
    <w:rsid w:val="005B625F"/>
    <w:rsid w:val="005B7F20"/>
    <w:rsid w:val="005C0804"/>
    <w:rsid w:val="005C138A"/>
    <w:rsid w:val="005C25A6"/>
    <w:rsid w:val="005C2DDF"/>
    <w:rsid w:val="005C5AEE"/>
    <w:rsid w:val="005C729C"/>
    <w:rsid w:val="005D08F3"/>
    <w:rsid w:val="005D3129"/>
    <w:rsid w:val="005D35EA"/>
    <w:rsid w:val="005D5023"/>
    <w:rsid w:val="005D5E63"/>
    <w:rsid w:val="005D6414"/>
    <w:rsid w:val="005E010F"/>
    <w:rsid w:val="005E2804"/>
    <w:rsid w:val="005E3879"/>
    <w:rsid w:val="005E7EE5"/>
    <w:rsid w:val="005E7F68"/>
    <w:rsid w:val="005F17DE"/>
    <w:rsid w:val="005F17ED"/>
    <w:rsid w:val="005F249D"/>
    <w:rsid w:val="005F7D8D"/>
    <w:rsid w:val="005F7FB2"/>
    <w:rsid w:val="00603690"/>
    <w:rsid w:val="00604424"/>
    <w:rsid w:val="00605DA8"/>
    <w:rsid w:val="00607BF7"/>
    <w:rsid w:val="006120A4"/>
    <w:rsid w:val="0061287B"/>
    <w:rsid w:val="00612E47"/>
    <w:rsid w:val="006136DA"/>
    <w:rsid w:val="006144DB"/>
    <w:rsid w:val="00617B80"/>
    <w:rsid w:val="00617F24"/>
    <w:rsid w:val="006205B3"/>
    <w:rsid w:val="0062619F"/>
    <w:rsid w:val="00626722"/>
    <w:rsid w:val="00626C0D"/>
    <w:rsid w:val="00626D6F"/>
    <w:rsid w:val="00634C70"/>
    <w:rsid w:val="00635ADC"/>
    <w:rsid w:val="00636C87"/>
    <w:rsid w:val="00637876"/>
    <w:rsid w:val="00637FA6"/>
    <w:rsid w:val="00642047"/>
    <w:rsid w:val="006424C7"/>
    <w:rsid w:val="0064275F"/>
    <w:rsid w:val="006466AB"/>
    <w:rsid w:val="00647809"/>
    <w:rsid w:val="00647A64"/>
    <w:rsid w:val="006508AD"/>
    <w:rsid w:val="00651E2D"/>
    <w:rsid w:val="00654883"/>
    <w:rsid w:val="00654960"/>
    <w:rsid w:val="00654F65"/>
    <w:rsid w:val="006550AF"/>
    <w:rsid w:val="006552B8"/>
    <w:rsid w:val="00660448"/>
    <w:rsid w:val="0066364B"/>
    <w:rsid w:val="00664469"/>
    <w:rsid w:val="00667390"/>
    <w:rsid w:val="0066788C"/>
    <w:rsid w:val="0067351C"/>
    <w:rsid w:val="00673867"/>
    <w:rsid w:val="00677D35"/>
    <w:rsid w:val="00680A0F"/>
    <w:rsid w:val="006826A0"/>
    <w:rsid w:val="00683737"/>
    <w:rsid w:val="006840C4"/>
    <w:rsid w:val="00684A28"/>
    <w:rsid w:val="00690714"/>
    <w:rsid w:val="00691814"/>
    <w:rsid w:val="00694ABA"/>
    <w:rsid w:val="00695F47"/>
    <w:rsid w:val="006A0014"/>
    <w:rsid w:val="006A10DD"/>
    <w:rsid w:val="006A2C93"/>
    <w:rsid w:val="006B262B"/>
    <w:rsid w:val="006B36A1"/>
    <w:rsid w:val="006B39A9"/>
    <w:rsid w:val="006B7579"/>
    <w:rsid w:val="006C0210"/>
    <w:rsid w:val="006C04B3"/>
    <w:rsid w:val="006C13E7"/>
    <w:rsid w:val="006C1F02"/>
    <w:rsid w:val="006C2677"/>
    <w:rsid w:val="006C286A"/>
    <w:rsid w:val="006C4F82"/>
    <w:rsid w:val="006C4FB6"/>
    <w:rsid w:val="006C5746"/>
    <w:rsid w:val="006C69AB"/>
    <w:rsid w:val="006C7EEF"/>
    <w:rsid w:val="006D037D"/>
    <w:rsid w:val="006D0846"/>
    <w:rsid w:val="006D0B81"/>
    <w:rsid w:val="006D1B7C"/>
    <w:rsid w:val="006D319F"/>
    <w:rsid w:val="006D47B9"/>
    <w:rsid w:val="006D4AC5"/>
    <w:rsid w:val="006D5B35"/>
    <w:rsid w:val="006E35A7"/>
    <w:rsid w:val="006E425B"/>
    <w:rsid w:val="006E4B45"/>
    <w:rsid w:val="006E5DB4"/>
    <w:rsid w:val="006E7667"/>
    <w:rsid w:val="006E79F6"/>
    <w:rsid w:val="006F3918"/>
    <w:rsid w:val="006F517F"/>
    <w:rsid w:val="006F5268"/>
    <w:rsid w:val="007049C7"/>
    <w:rsid w:val="00705007"/>
    <w:rsid w:val="007067B4"/>
    <w:rsid w:val="00706DF7"/>
    <w:rsid w:val="00711498"/>
    <w:rsid w:val="00711D91"/>
    <w:rsid w:val="00712981"/>
    <w:rsid w:val="007134AF"/>
    <w:rsid w:val="0071718E"/>
    <w:rsid w:val="0071739B"/>
    <w:rsid w:val="00717476"/>
    <w:rsid w:val="00717714"/>
    <w:rsid w:val="00720DE9"/>
    <w:rsid w:val="007226CA"/>
    <w:rsid w:val="00722CF4"/>
    <w:rsid w:val="00723630"/>
    <w:rsid w:val="00725E76"/>
    <w:rsid w:val="007265D7"/>
    <w:rsid w:val="0072669F"/>
    <w:rsid w:val="00732BAC"/>
    <w:rsid w:val="007333E9"/>
    <w:rsid w:val="0073460C"/>
    <w:rsid w:val="0074032E"/>
    <w:rsid w:val="00740E91"/>
    <w:rsid w:val="00742422"/>
    <w:rsid w:val="007432D7"/>
    <w:rsid w:val="0074383C"/>
    <w:rsid w:val="007460F4"/>
    <w:rsid w:val="00746B98"/>
    <w:rsid w:val="00753728"/>
    <w:rsid w:val="007556C4"/>
    <w:rsid w:val="007566B7"/>
    <w:rsid w:val="00756732"/>
    <w:rsid w:val="0076048A"/>
    <w:rsid w:val="00760CA5"/>
    <w:rsid w:val="00760D2D"/>
    <w:rsid w:val="00761DB3"/>
    <w:rsid w:val="007629AE"/>
    <w:rsid w:val="00762AF8"/>
    <w:rsid w:val="00764463"/>
    <w:rsid w:val="00765C66"/>
    <w:rsid w:val="007664AB"/>
    <w:rsid w:val="0077079E"/>
    <w:rsid w:val="00771A02"/>
    <w:rsid w:val="00772EF8"/>
    <w:rsid w:val="00773CD4"/>
    <w:rsid w:val="007746FE"/>
    <w:rsid w:val="00776084"/>
    <w:rsid w:val="0078097A"/>
    <w:rsid w:val="00783870"/>
    <w:rsid w:val="00784479"/>
    <w:rsid w:val="007847FB"/>
    <w:rsid w:val="00785436"/>
    <w:rsid w:val="00787D10"/>
    <w:rsid w:val="00790077"/>
    <w:rsid w:val="00791334"/>
    <w:rsid w:val="007920BF"/>
    <w:rsid w:val="00794362"/>
    <w:rsid w:val="00794628"/>
    <w:rsid w:val="00795F61"/>
    <w:rsid w:val="00796DDD"/>
    <w:rsid w:val="00796E9E"/>
    <w:rsid w:val="00797699"/>
    <w:rsid w:val="007A055C"/>
    <w:rsid w:val="007A05BD"/>
    <w:rsid w:val="007A0FA8"/>
    <w:rsid w:val="007A14B0"/>
    <w:rsid w:val="007A3BE6"/>
    <w:rsid w:val="007A492A"/>
    <w:rsid w:val="007B05B3"/>
    <w:rsid w:val="007B0AA9"/>
    <w:rsid w:val="007B3DE3"/>
    <w:rsid w:val="007B4572"/>
    <w:rsid w:val="007B79F1"/>
    <w:rsid w:val="007C2ED7"/>
    <w:rsid w:val="007C4D5E"/>
    <w:rsid w:val="007C5849"/>
    <w:rsid w:val="007C65FE"/>
    <w:rsid w:val="007D0CBF"/>
    <w:rsid w:val="007D119B"/>
    <w:rsid w:val="007D2BF4"/>
    <w:rsid w:val="007D7353"/>
    <w:rsid w:val="007D78D6"/>
    <w:rsid w:val="007E2665"/>
    <w:rsid w:val="007E6330"/>
    <w:rsid w:val="007E635A"/>
    <w:rsid w:val="007F05DE"/>
    <w:rsid w:val="007F4198"/>
    <w:rsid w:val="007F57C7"/>
    <w:rsid w:val="008001FF"/>
    <w:rsid w:val="008002F4"/>
    <w:rsid w:val="00800337"/>
    <w:rsid w:val="00800BEA"/>
    <w:rsid w:val="00801E45"/>
    <w:rsid w:val="0080678F"/>
    <w:rsid w:val="008110F4"/>
    <w:rsid w:val="00815F7F"/>
    <w:rsid w:val="0081633B"/>
    <w:rsid w:val="00816D6C"/>
    <w:rsid w:val="00823515"/>
    <w:rsid w:val="00825BFB"/>
    <w:rsid w:val="008307EA"/>
    <w:rsid w:val="008322C9"/>
    <w:rsid w:val="0083555D"/>
    <w:rsid w:val="00835E69"/>
    <w:rsid w:val="00845D6F"/>
    <w:rsid w:val="0085192E"/>
    <w:rsid w:val="00856EF7"/>
    <w:rsid w:val="008605A4"/>
    <w:rsid w:val="00860693"/>
    <w:rsid w:val="00861F82"/>
    <w:rsid w:val="0086422A"/>
    <w:rsid w:val="0086585B"/>
    <w:rsid w:val="00865BFE"/>
    <w:rsid w:val="00865DB1"/>
    <w:rsid w:val="00866614"/>
    <w:rsid w:val="0087142F"/>
    <w:rsid w:val="0087205B"/>
    <w:rsid w:val="00873FEE"/>
    <w:rsid w:val="00874DC8"/>
    <w:rsid w:val="00875BE3"/>
    <w:rsid w:val="00875E00"/>
    <w:rsid w:val="00875E92"/>
    <w:rsid w:val="00882973"/>
    <w:rsid w:val="00883579"/>
    <w:rsid w:val="00886B62"/>
    <w:rsid w:val="0088713A"/>
    <w:rsid w:val="00892DC4"/>
    <w:rsid w:val="008939DB"/>
    <w:rsid w:val="008939DE"/>
    <w:rsid w:val="0089505A"/>
    <w:rsid w:val="008976ED"/>
    <w:rsid w:val="008A25B6"/>
    <w:rsid w:val="008A4464"/>
    <w:rsid w:val="008A7711"/>
    <w:rsid w:val="008B4209"/>
    <w:rsid w:val="008B4556"/>
    <w:rsid w:val="008B46B2"/>
    <w:rsid w:val="008C1CC8"/>
    <w:rsid w:val="008C2BA7"/>
    <w:rsid w:val="008C3CD4"/>
    <w:rsid w:val="008C457E"/>
    <w:rsid w:val="008C59A5"/>
    <w:rsid w:val="008C59A8"/>
    <w:rsid w:val="008C7747"/>
    <w:rsid w:val="008D01EF"/>
    <w:rsid w:val="008D253A"/>
    <w:rsid w:val="008D5A3A"/>
    <w:rsid w:val="008E0CCD"/>
    <w:rsid w:val="008E1D42"/>
    <w:rsid w:val="008E2769"/>
    <w:rsid w:val="008E7328"/>
    <w:rsid w:val="008F188C"/>
    <w:rsid w:val="008F277D"/>
    <w:rsid w:val="008F2ADB"/>
    <w:rsid w:val="008F40F2"/>
    <w:rsid w:val="008F787C"/>
    <w:rsid w:val="009024FB"/>
    <w:rsid w:val="009033B5"/>
    <w:rsid w:val="009061D7"/>
    <w:rsid w:val="00906461"/>
    <w:rsid w:val="00906E9B"/>
    <w:rsid w:val="009100C0"/>
    <w:rsid w:val="00910815"/>
    <w:rsid w:val="00913B92"/>
    <w:rsid w:val="00915268"/>
    <w:rsid w:val="00915607"/>
    <w:rsid w:val="00920301"/>
    <w:rsid w:val="00921595"/>
    <w:rsid w:val="00926DEF"/>
    <w:rsid w:val="009278A2"/>
    <w:rsid w:val="0093179F"/>
    <w:rsid w:val="009324C8"/>
    <w:rsid w:val="00933A4A"/>
    <w:rsid w:val="00935AF2"/>
    <w:rsid w:val="00935AFB"/>
    <w:rsid w:val="00935CEC"/>
    <w:rsid w:val="00936B8C"/>
    <w:rsid w:val="00940043"/>
    <w:rsid w:val="00940D09"/>
    <w:rsid w:val="00951FA7"/>
    <w:rsid w:val="009539A2"/>
    <w:rsid w:val="00954852"/>
    <w:rsid w:val="009668B5"/>
    <w:rsid w:val="009715B1"/>
    <w:rsid w:val="00971934"/>
    <w:rsid w:val="009722C0"/>
    <w:rsid w:val="009735A4"/>
    <w:rsid w:val="00973A16"/>
    <w:rsid w:val="00973F8C"/>
    <w:rsid w:val="00974374"/>
    <w:rsid w:val="00975117"/>
    <w:rsid w:val="00976451"/>
    <w:rsid w:val="00976C22"/>
    <w:rsid w:val="009816C2"/>
    <w:rsid w:val="009821AF"/>
    <w:rsid w:val="00983551"/>
    <w:rsid w:val="00984014"/>
    <w:rsid w:val="00986108"/>
    <w:rsid w:val="0098615E"/>
    <w:rsid w:val="00990444"/>
    <w:rsid w:val="00990D64"/>
    <w:rsid w:val="0099686F"/>
    <w:rsid w:val="00996921"/>
    <w:rsid w:val="00997447"/>
    <w:rsid w:val="009A148A"/>
    <w:rsid w:val="009A356F"/>
    <w:rsid w:val="009B1EC6"/>
    <w:rsid w:val="009B23C2"/>
    <w:rsid w:val="009B28CC"/>
    <w:rsid w:val="009B33C9"/>
    <w:rsid w:val="009B4288"/>
    <w:rsid w:val="009B4C61"/>
    <w:rsid w:val="009B69FA"/>
    <w:rsid w:val="009B702F"/>
    <w:rsid w:val="009B7647"/>
    <w:rsid w:val="009C0350"/>
    <w:rsid w:val="009C11B8"/>
    <w:rsid w:val="009C1417"/>
    <w:rsid w:val="009C2356"/>
    <w:rsid w:val="009C4C5E"/>
    <w:rsid w:val="009C56F3"/>
    <w:rsid w:val="009C5F4A"/>
    <w:rsid w:val="009C6417"/>
    <w:rsid w:val="009C7789"/>
    <w:rsid w:val="009D0504"/>
    <w:rsid w:val="009D0534"/>
    <w:rsid w:val="009D3817"/>
    <w:rsid w:val="009D3BC9"/>
    <w:rsid w:val="009D4BA7"/>
    <w:rsid w:val="009D4F2E"/>
    <w:rsid w:val="009D768D"/>
    <w:rsid w:val="009E2EBC"/>
    <w:rsid w:val="009E325B"/>
    <w:rsid w:val="009E3A6F"/>
    <w:rsid w:val="009E7509"/>
    <w:rsid w:val="009F136A"/>
    <w:rsid w:val="009F1B1A"/>
    <w:rsid w:val="009F2760"/>
    <w:rsid w:val="009F4789"/>
    <w:rsid w:val="009F498B"/>
    <w:rsid w:val="009F4AD4"/>
    <w:rsid w:val="009F7744"/>
    <w:rsid w:val="009F7B15"/>
    <w:rsid w:val="00A00E4D"/>
    <w:rsid w:val="00A03C00"/>
    <w:rsid w:val="00A1231E"/>
    <w:rsid w:val="00A162B9"/>
    <w:rsid w:val="00A17513"/>
    <w:rsid w:val="00A17DC6"/>
    <w:rsid w:val="00A20BCA"/>
    <w:rsid w:val="00A21E54"/>
    <w:rsid w:val="00A22497"/>
    <w:rsid w:val="00A2266A"/>
    <w:rsid w:val="00A2413B"/>
    <w:rsid w:val="00A247C4"/>
    <w:rsid w:val="00A2668D"/>
    <w:rsid w:val="00A2756E"/>
    <w:rsid w:val="00A322D7"/>
    <w:rsid w:val="00A36C4A"/>
    <w:rsid w:val="00A37BDE"/>
    <w:rsid w:val="00A37F8F"/>
    <w:rsid w:val="00A40676"/>
    <w:rsid w:val="00A409ED"/>
    <w:rsid w:val="00A41445"/>
    <w:rsid w:val="00A42786"/>
    <w:rsid w:val="00A42FA0"/>
    <w:rsid w:val="00A50412"/>
    <w:rsid w:val="00A53357"/>
    <w:rsid w:val="00A54B78"/>
    <w:rsid w:val="00A550F7"/>
    <w:rsid w:val="00A554B5"/>
    <w:rsid w:val="00A61431"/>
    <w:rsid w:val="00A70EF9"/>
    <w:rsid w:val="00A732B6"/>
    <w:rsid w:val="00A74DC8"/>
    <w:rsid w:val="00A75476"/>
    <w:rsid w:val="00A7553B"/>
    <w:rsid w:val="00A75964"/>
    <w:rsid w:val="00A80AA9"/>
    <w:rsid w:val="00A81E06"/>
    <w:rsid w:val="00A837FC"/>
    <w:rsid w:val="00A84BE5"/>
    <w:rsid w:val="00A95A81"/>
    <w:rsid w:val="00AA0536"/>
    <w:rsid w:val="00AA0C3C"/>
    <w:rsid w:val="00AA354F"/>
    <w:rsid w:val="00AA4D14"/>
    <w:rsid w:val="00AA67CB"/>
    <w:rsid w:val="00AB0A6F"/>
    <w:rsid w:val="00AB1188"/>
    <w:rsid w:val="00AB17A3"/>
    <w:rsid w:val="00AB1F66"/>
    <w:rsid w:val="00AB3B8C"/>
    <w:rsid w:val="00AB616F"/>
    <w:rsid w:val="00AB7573"/>
    <w:rsid w:val="00AC2EB4"/>
    <w:rsid w:val="00AC6367"/>
    <w:rsid w:val="00AC6F25"/>
    <w:rsid w:val="00AD0462"/>
    <w:rsid w:val="00AD3474"/>
    <w:rsid w:val="00AD6E96"/>
    <w:rsid w:val="00AE77AD"/>
    <w:rsid w:val="00AE7F32"/>
    <w:rsid w:val="00AF1C6D"/>
    <w:rsid w:val="00AF4620"/>
    <w:rsid w:val="00AF4748"/>
    <w:rsid w:val="00AF4950"/>
    <w:rsid w:val="00AF6431"/>
    <w:rsid w:val="00B005A2"/>
    <w:rsid w:val="00B02DD6"/>
    <w:rsid w:val="00B06A9B"/>
    <w:rsid w:val="00B06E4B"/>
    <w:rsid w:val="00B108E7"/>
    <w:rsid w:val="00B10D34"/>
    <w:rsid w:val="00B11A5B"/>
    <w:rsid w:val="00B12BB4"/>
    <w:rsid w:val="00B13982"/>
    <w:rsid w:val="00B16D6E"/>
    <w:rsid w:val="00B2009B"/>
    <w:rsid w:val="00B20C56"/>
    <w:rsid w:val="00B2231B"/>
    <w:rsid w:val="00B27BF2"/>
    <w:rsid w:val="00B307B2"/>
    <w:rsid w:val="00B30961"/>
    <w:rsid w:val="00B31FB5"/>
    <w:rsid w:val="00B33C05"/>
    <w:rsid w:val="00B3485C"/>
    <w:rsid w:val="00B34D22"/>
    <w:rsid w:val="00B3516C"/>
    <w:rsid w:val="00B375BD"/>
    <w:rsid w:val="00B401D2"/>
    <w:rsid w:val="00B40704"/>
    <w:rsid w:val="00B42DDF"/>
    <w:rsid w:val="00B43375"/>
    <w:rsid w:val="00B47704"/>
    <w:rsid w:val="00B47A4E"/>
    <w:rsid w:val="00B525A8"/>
    <w:rsid w:val="00B5301C"/>
    <w:rsid w:val="00B53BB8"/>
    <w:rsid w:val="00B544ED"/>
    <w:rsid w:val="00B5606A"/>
    <w:rsid w:val="00B568DE"/>
    <w:rsid w:val="00B57CAA"/>
    <w:rsid w:val="00B605A6"/>
    <w:rsid w:val="00B60ED9"/>
    <w:rsid w:val="00B64E60"/>
    <w:rsid w:val="00B655F9"/>
    <w:rsid w:val="00B66B5B"/>
    <w:rsid w:val="00B672F4"/>
    <w:rsid w:val="00B71FAA"/>
    <w:rsid w:val="00B736D9"/>
    <w:rsid w:val="00B7603F"/>
    <w:rsid w:val="00B81980"/>
    <w:rsid w:val="00B83184"/>
    <w:rsid w:val="00B83B6B"/>
    <w:rsid w:val="00B84C2F"/>
    <w:rsid w:val="00B8651E"/>
    <w:rsid w:val="00B86DDD"/>
    <w:rsid w:val="00B86FF6"/>
    <w:rsid w:val="00B90D6E"/>
    <w:rsid w:val="00B91273"/>
    <w:rsid w:val="00B92C22"/>
    <w:rsid w:val="00B952F3"/>
    <w:rsid w:val="00B96192"/>
    <w:rsid w:val="00B97DB4"/>
    <w:rsid w:val="00BA291D"/>
    <w:rsid w:val="00BA37A8"/>
    <w:rsid w:val="00BA5842"/>
    <w:rsid w:val="00BA6084"/>
    <w:rsid w:val="00BA7772"/>
    <w:rsid w:val="00BA7BC5"/>
    <w:rsid w:val="00BB452E"/>
    <w:rsid w:val="00BB503E"/>
    <w:rsid w:val="00BB6ECA"/>
    <w:rsid w:val="00BB7981"/>
    <w:rsid w:val="00BC01F0"/>
    <w:rsid w:val="00BC3970"/>
    <w:rsid w:val="00BC3C64"/>
    <w:rsid w:val="00BC58DB"/>
    <w:rsid w:val="00BC654C"/>
    <w:rsid w:val="00BC6BA9"/>
    <w:rsid w:val="00BD0AFE"/>
    <w:rsid w:val="00BD10CB"/>
    <w:rsid w:val="00BD54DB"/>
    <w:rsid w:val="00BD7E13"/>
    <w:rsid w:val="00BE0534"/>
    <w:rsid w:val="00BE1482"/>
    <w:rsid w:val="00BE4828"/>
    <w:rsid w:val="00BE4DD0"/>
    <w:rsid w:val="00BE5044"/>
    <w:rsid w:val="00BE54B2"/>
    <w:rsid w:val="00BE5D5B"/>
    <w:rsid w:val="00BF3A5D"/>
    <w:rsid w:val="00C0117A"/>
    <w:rsid w:val="00C017D1"/>
    <w:rsid w:val="00C028B1"/>
    <w:rsid w:val="00C0293C"/>
    <w:rsid w:val="00C02D7B"/>
    <w:rsid w:val="00C055F2"/>
    <w:rsid w:val="00C074DE"/>
    <w:rsid w:val="00C102A7"/>
    <w:rsid w:val="00C10BC8"/>
    <w:rsid w:val="00C10EA8"/>
    <w:rsid w:val="00C142E9"/>
    <w:rsid w:val="00C15F48"/>
    <w:rsid w:val="00C17559"/>
    <w:rsid w:val="00C22637"/>
    <w:rsid w:val="00C23476"/>
    <w:rsid w:val="00C30197"/>
    <w:rsid w:val="00C315A2"/>
    <w:rsid w:val="00C316F5"/>
    <w:rsid w:val="00C32181"/>
    <w:rsid w:val="00C33EFB"/>
    <w:rsid w:val="00C342E2"/>
    <w:rsid w:val="00C35350"/>
    <w:rsid w:val="00C41FCB"/>
    <w:rsid w:val="00C4561E"/>
    <w:rsid w:val="00C473CE"/>
    <w:rsid w:val="00C4761F"/>
    <w:rsid w:val="00C47929"/>
    <w:rsid w:val="00C47DC7"/>
    <w:rsid w:val="00C50CDB"/>
    <w:rsid w:val="00C51658"/>
    <w:rsid w:val="00C52082"/>
    <w:rsid w:val="00C54AAE"/>
    <w:rsid w:val="00C55E06"/>
    <w:rsid w:val="00C56AF0"/>
    <w:rsid w:val="00C5739C"/>
    <w:rsid w:val="00C6014C"/>
    <w:rsid w:val="00C628D4"/>
    <w:rsid w:val="00C637DA"/>
    <w:rsid w:val="00C65360"/>
    <w:rsid w:val="00C65A7D"/>
    <w:rsid w:val="00C65C97"/>
    <w:rsid w:val="00C70256"/>
    <w:rsid w:val="00C71629"/>
    <w:rsid w:val="00C74FFD"/>
    <w:rsid w:val="00C7777E"/>
    <w:rsid w:val="00C77AD2"/>
    <w:rsid w:val="00C824D0"/>
    <w:rsid w:val="00C84088"/>
    <w:rsid w:val="00C85623"/>
    <w:rsid w:val="00C85B45"/>
    <w:rsid w:val="00C87605"/>
    <w:rsid w:val="00C918A0"/>
    <w:rsid w:val="00C918A7"/>
    <w:rsid w:val="00C91FB5"/>
    <w:rsid w:val="00C95697"/>
    <w:rsid w:val="00C95A4E"/>
    <w:rsid w:val="00C95B39"/>
    <w:rsid w:val="00CA0846"/>
    <w:rsid w:val="00CA0CFE"/>
    <w:rsid w:val="00CA117E"/>
    <w:rsid w:val="00CA126B"/>
    <w:rsid w:val="00CA163B"/>
    <w:rsid w:val="00CA39D8"/>
    <w:rsid w:val="00CB0E09"/>
    <w:rsid w:val="00CB31D0"/>
    <w:rsid w:val="00CB4063"/>
    <w:rsid w:val="00CB44CC"/>
    <w:rsid w:val="00CB59B9"/>
    <w:rsid w:val="00CC0FE2"/>
    <w:rsid w:val="00CC30FC"/>
    <w:rsid w:val="00CC3159"/>
    <w:rsid w:val="00CC331A"/>
    <w:rsid w:val="00CC44C5"/>
    <w:rsid w:val="00CC4F88"/>
    <w:rsid w:val="00CC66DD"/>
    <w:rsid w:val="00CD0B90"/>
    <w:rsid w:val="00CD148B"/>
    <w:rsid w:val="00CD2247"/>
    <w:rsid w:val="00CD2E43"/>
    <w:rsid w:val="00CD3B6F"/>
    <w:rsid w:val="00CD67D5"/>
    <w:rsid w:val="00CE105D"/>
    <w:rsid w:val="00CE11B3"/>
    <w:rsid w:val="00CE26CD"/>
    <w:rsid w:val="00CE29E3"/>
    <w:rsid w:val="00CE50BC"/>
    <w:rsid w:val="00CE70AB"/>
    <w:rsid w:val="00CF3A81"/>
    <w:rsid w:val="00CF49C5"/>
    <w:rsid w:val="00CF5AE5"/>
    <w:rsid w:val="00D00E7C"/>
    <w:rsid w:val="00D00FA0"/>
    <w:rsid w:val="00D067C7"/>
    <w:rsid w:val="00D06852"/>
    <w:rsid w:val="00D06EB3"/>
    <w:rsid w:val="00D10DAB"/>
    <w:rsid w:val="00D1200F"/>
    <w:rsid w:val="00D12322"/>
    <w:rsid w:val="00D13763"/>
    <w:rsid w:val="00D1395C"/>
    <w:rsid w:val="00D13F10"/>
    <w:rsid w:val="00D16D64"/>
    <w:rsid w:val="00D1709F"/>
    <w:rsid w:val="00D17975"/>
    <w:rsid w:val="00D21020"/>
    <w:rsid w:val="00D30388"/>
    <w:rsid w:val="00D32212"/>
    <w:rsid w:val="00D3271D"/>
    <w:rsid w:val="00D35C43"/>
    <w:rsid w:val="00D41BDD"/>
    <w:rsid w:val="00D42804"/>
    <w:rsid w:val="00D42FA7"/>
    <w:rsid w:val="00D45513"/>
    <w:rsid w:val="00D4657B"/>
    <w:rsid w:val="00D4762D"/>
    <w:rsid w:val="00D505FE"/>
    <w:rsid w:val="00D50856"/>
    <w:rsid w:val="00D513CA"/>
    <w:rsid w:val="00D51B58"/>
    <w:rsid w:val="00D55EDC"/>
    <w:rsid w:val="00D569D1"/>
    <w:rsid w:val="00D601F6"/>
    <w:rsid w:val="00D630FC"/>
    <w:rsid w:val="00D65566"/>
    <w:rsid w:val="00D66CB1"/>
    <w:rsid w:val="00D67342"/>
    <w:rsid w:val="00D67B60"/>
    <w:rsid w:val="00D707D6"/>
    <w:rsid w:val="00D73709"/>
    <w:rsid w:val="00D7562C"/>
    <w:rsid w:val="00D76ACC"/>
    <w:rsid w:val="00D802EE"/>
    <w:rsid w:val="00D83210"/>
    <w:rsid w:val="00D83A46"/>
    <w:rsid w:val="00D83FD0"/>
    <w:rsid w:val="00D85B62"/>
    <w:rsid w:val="00D86038"/>
    <w:rsid w:val="00D8629E"/>
    <w:rsid w:val="00D90152"/>
    <w:rsid w:val="00D91700"/>
    <w:rsid w:val="00D91FD4"/>
    <w:rsid w:val="00D921B1"/>
    <w:rsid w:val="00D93CDE"/>
    <w:rsid w:val="00D95401"/>
    <w:rsid w:val="00DA4FCB"/>
    <w:rsid w:val="00DB1256"/>
    <w:rsid w:val="00DB1E0E"/>
    <w:rsid w:val="00DB244E"/>
    <w:rsid w:val="00DB6014"/>
    <w:rsid w:val="00DB6438"/>
    <w:rsid w:val="00DC21BB"/>
    <w:rsid w:val="00DC27AB"/>
    <w:rsid w:val="00DC2EA6"/>
    <w:rsid w:val="00DC350A"/>
    <w:rsid w:val="00DC62EC"/>
    <w:rsid w:val="00DC678F"/>
    <w:rsid w:val="00DC701B"/>
    <w:rsid w:val="00DC7D48"/>
    <w:rsid w:val="00DD114E"/>
    <w:rsid w:val="00DD2A2C"/>
    <w:rsid w:val="00DD520D"/>
    <w:rsid w:val="00DD522C"/>
    <w:rsid w:val="00DD5D3C"/>
    <w:rsid w:val="00DD7957"/>
    <w:rsid w:val="00DE0A59"/>
    <w:rsid w:val="00DE1170"/>
    <w:rsid w:val="00DE345F"/>
    <w:rsid w:val="00DE43CC"/>
    <w:rsid w:val="00DE4761"/>
    <w:rsid w:val="00DE6C42"/>
    <w:rsid w:val="00DF4467"/>
    <w:rsid w:val="00DF6A81"/>
    <w:rsid w:val="00E00B72"/>
    <w:rsid w:val="00E00E52"/>
    <w:rsid w:val="00E04AE2"/>
    <w:rsid w:val="00E05B7C"/>
    <w:rsid w:val="00E07E0D"/>
    <w:rsid w:val="00E11306"/>
    <w:rsid w:val="00E11FA8"/>
    <w:rsid w:val="00E12907"/>
    <w:rsid w:val="00E1327F"/>
    <w:rsid w:val="00E13DC0"/>
    <w:rsid w:val="00E14079"/>
    <w:rsid w:val="00E16146"/>
    <w:rsid w:val="00E173C4"/>
    <w:rsid w:val="00E17C5F"/>
    <w:rsid w:val="00E21DCE"/>
    <w:rsid w:val="00E26F43"/>
    <w:rsid w:val="00E34FCA"/>
    <w:rsid w:val="00E35145"/>
    <w:rsid w:val="00E35478"/>
    <w:rsid w:val="00E36363"/>
    <w:rsid w:val="00E378FE"/>
    <w:rsid w:val="00E40D5A"/>
    <w:rsid w:val="00E41AD3"/>
    <w:rsid w:val="00E44AA2"/>
    <w:rsid w:val="00E45103"/>
    <w:rsid w:val="00E45889"/>
    <w:rsid w:val="00E46C2E"/>
    <w:rsid w:val="00E50979"/>
    <w:rsid w:val="00E60955"/>
    <w:rsid w:val="00E61C4C"/>
    <w:rsid w:val="00E6459E"/>
    <w:rsid w:val="00E65749"/>
    <w:rsid w:val="00E65FDD"/>
    <w:rsid w:val="00E711E3"/>
    <w:rsid w:val="00E73D0D"/>
    <w:rsid w:val="00E746D2"/>
    <w:rsid w:val="00E74D36"/>
    <w:rsid w:val="00E75927"/>
    <w:rsid w:val="00E77160"/>
    <w:rsid w:val="00E8081B"/>
    <w:rsid w:val="00E80E71"/>
    <w:rsid w:val="00E81A31"/>
    <w:rsid w:val="00E82C6D"/>
    <w:rsid w:val="00E8307D"/>
    <w:rsid w:val="00E832C6"/>
    <w:rsid w:val="00E8403A"/>
    <w:rsid w:val="00E84258"/>
    <w:rsid w:val="00E84737"/>
    <w:rsid w:val="00E853DD"/>
    <w:rsid w:val="00E8551A"/>
    <w:rsid w:val="00E902FD"/>
    <w:rsid w:val="00E904AC"/>
    <w:rsid w:val="00E90A17"/>
    <w:rsid w:val="00E91749"/>
    <w:rsid w:val="00E94521"/>
    <w:rsid w:val="00E96C2E"/>
    <w:rsid w:val="00EA0607"/>
    <w:rsid w:val="00EA4569"/>
    <w:rsid w:val="00EA6A7C"/>
    <w:rsid w:val="00EA6E14"/>
    <w:rsid w:val="00EA7089"/>
    <w:rsid w:val="00EB0445"/>
    <w:rsid w:val="00EB404B"/>
    <w:rsid w:val="00EB4A1A"/>
    <w:rsid w:val="00EB5D97"/>
    <w:rsid w:val="00EB665A"/>
    <w:rsid w:val="00EC1EC6"/>
    <w:rsid w:val="00EC3619"/>
    <w:rsid w:val="00EC3C91"/>
    <w:rsid w:val="00EC44F5"/>
    <w:rsid w:val="00EC581F"/>
    <w:rsid w:val="00EC746A"/>
    <w:rsid w:val="00EC7639"/>
    <w:rsid w:val="00EC76D6"/>
    <w:rsid w:val="00ED1770"/>
    <w:rsid w:val="00ED3DA9"/>
    <w:rsid w:val="00ED43FF"/>
    <w:rsid w:val="00ED7E70"/>
    <w:rsid w:val="00EE1E39"/>
    <w:rsid w:val="00EE3346"/>
    <w:rsid w:val="00EE4AA6"/>
    <w:rsid w:val="00EE5172"/>
    <w:rsid w:val="00EE5593"/>
    <w:rsid w:val="00EE7C9F"/>
    <w:rsid w:val="00EF0369"/>
    <w:rsid w:val="00EF19F5"/>
    <w:rsid w:val="00EF2D0C"/>
    <w:rsid w:val="00EF6BD6"/>
    <w:rsid w:val="00EF6C18"/>
    <w:rsid w:val="00F001E6"/>
    <w:rsid w:val="00F02143"/>
    <w:rsid w:val="00F026E8"/>
    <w:rsid w:val="00F02DC4"/>
    <w:rsid w:val="00F02FA7"/>
    <w:rsid w:val="00F06A0F"/>
    <w:rsid w:val="00F14047"/>
    <w:rsid w:val="00F15EC2"/>
    <w:rsid w:val="00F15F23"/>
    <w:rsid w:val="00F204E9"/>
    <w:rsid w:val="00F22AE8"/>
    <w:rsid w:val="00F24CFC"/>
    <w:rsid w:val="00F26A09"/>
    <w:rsid w:val="00F27A19"/>
    <w:rsid w:val="00F27C96"/>
    <w:rsid w:val="00F32456"/>
    <w:rsid w:val="00F3536B"/>
    <w:rsid w:val="00F36DCC"/>
    <w:rsid w:val="00F370A3"/>
    <w:rsid w:val="00F410E3"/>
    <w:rsid w:val="00F41A40"/>
    <w:rsid w:val="00F43139"/>
    <w:rsid w:val="00F44B25"/>
    <w:rsid w:val="00F54E46"/>
    <w:rsid w:val="00F604F4"/>
    <w:rsid w:val="00F6188C"/>
    <w:rsid w:val="00F6288F"/>
    <w:rsid w:val="00F62896"/>
    <w:rsid w:val="00F66E7E"/>
    <w:rsid w:val="00F671E1"/>
    <w:rsid w:val="00F674C4"/>
    <w:rsid w:val="00F67DDC"/>
    <w:rsid w:val="00F72ACD"/>
    <w:rsid w:val="00F72E7C"/>
    <w:rsid w:val="00F74497"/>
    <w:rsid w:val="00F74716"/>
    <w:rsid w:val="00F77B77"/>
    <w:rsid w:val="00F821F5"/>
    <w:rsid w:val="00F82379"/>
    <w:rsid w:val="00F85110"/>
    <w:rsid w:val="00F86819"/>
    <w:rsid w:val="00F875D3"/>
    <w:rsid w:val="00F87B6A"/>
    <w:rsid w:val="00F87D7A"/>
    <w:rsid w:val="00F92455"/>
    <w:rsid w:val="00F95733"/>
    <w:rsid w:val="00F965E6"/>
    <w:rsid w:val="00F96740"/>
    <w:rsid w:val="00FA023C"/>
    <w:rsid w:val="00FA16FE"/>
    <w:rsid w:val="00FA19B5"/>
    <w:rsid w:val="00FA1B95"/>
    <w:rsid w:val="00FA1C94"/>
    <w:rsid w:val="00FA1F34"/>
    <w:rsid w:val="00FA3042"/>
    <w:rsid w:val="00FA330B"/>
    <w:rsid w:val="00FA4EDA"/>
    <w:rsid w:val="00FA5BC9"/>
    <w:rsid w:val="00FA74D2"/>
    <w:rsid w:val="00FB3F7D"/>
    <w:rsid w:val="00FC01FC"/>
    <w:rsid w:val="00FC1191"/>
    <w:rsid w:val="00FC1314"/>
    <w:rsid w:val="00FC453D"/>
    <w:rsid w:val="00FC47FE"/>
    <w:rsid w:val="00FC4DFF"/>
    <w:rsid w:val="00FC714D"/>
    <w:rsid w:val="00FC796F"/>
    <w:rsid w:val="00FC7E92"/>
    <w:rsid w:val="00FD0AF7"/>
    <w:rsid w:val="00FD15A2"/>
    <w:rsid w:val="00FD2354"/>
    <w:rsid w:val="00FD3D20"/>
    <w:rsid w:val="00FD4525"/>
    <w:rsid w:val="00FD71D4"/>
    <w:rsid w:val="00FE0D60"/>
    <w:rsid w:val="00FE188F"/>
    <w:rsid w:val="00FE22D9"/>
    <w:rsid w:val="00FE2B2C"/>
    <w:rsid w:val="00FE2DB5"/>
    <w:rsid w:val="00FE2E05"/>
    <w:rsid w:val="00FE44A2"/>
    <w:rsid w:val="00FE528D"/>
    <w:rsid w:val="00FE5C6C"/>
    <w:rsid w:val="00FE61EF"/>
    <w:rsid w:val="00FE704D"/>
    <w:rsid w:val="00FE7F98"/>
    <w:rsid w:val="00FF2A61"/>
    <w:rsid w:val="00FF4996"/>
    <w:rsid w:val="00FF5476"/>
    <w:rsid w:val="02306B19"/>
    <w:rsid w:val="037D50C5"/>
    <w:rsid w:val="041D5359"/>
    <w:rsid w:val="05E15EAC"/>
    <w:rsid w:val="077B3975"/>
    <w:rsid w:val="0920076D"/>
    <w:rsid w:val="0B2952C6"/>
    <w:rsid w:val="108F52B8"/>
    <w:rsid w:val="10BC6B3A"/>
    <w:rsid w:val="115C2035"/>
    <w:rsid w:val="116C50AF"/>
    <w:rsid w:val="14AC3D2D"/>
    <w:rsid w:val="152B02EC"/>
    <w:rsid w:val="15CE619A"/>
    <w:rsid w:val="16FA0D9B"/>
    <w:rsid w:val="17E942A4"/>
    <w:rsid w:val="17EC66B9"/>
    <w:rsid w:val="18FD70D0"/>
    <w:rsid w:val="19DA5E60"/>
    <w:rsid w:val="1A2F74BF"/>
    <w:rsid w:val="1B525BF9"/>
    <w:rsid w:val="221D2A59"/>
    <w:rsid w:val="23FB2C11"/>
    <w:rsid w:val="244B34DD"/>
    <w:rsid w:val="24652468"/>
    <w:rsid w:val="24AE2967"/>
    <w:rsid w:val="27DC0593"/>
    <w:rsid w:val="2A0F7FE0"/>
    <w:rsid w:val="2C70253E"/>
    <w:rsid w:val="2ECC2645"/>
    <w:rsid w:val="2F9946EC"/>
    <w:rsid w:val="325F4503"/>
    <w:rsid w:val="34592D73"/>
    <w:rsid w:val="3A986A98"/>
    <w:rsid w:val="3AB015F0"/>
    <w:rsid w:val="3B3B44B8"/>
    <w:rsid w:val="3C8F4B93"/>
    <w:rsid w:val="3E3A3E57"/>
    <w:rsid w:val="3F5A60D6"/>
    <w:rsid w:val="3FDC7DDA"/>
    <w:rsid w:val="434E57E0"/>
    <w:rsid w:val="43816D62"/>
    <w:rsid w:val="43C351A6"/>
    <w:rsid w:val="44F30670"/>
    <w:rsid w:val="4685767A"/>
    <w:rsid w:val="48511B25"/>
    <w:rsid w:val="4A0178A0"/>
    <w:rsid w:val="4A2B78D6"/>
    <w:rsid w:val="4A4A6084"/>
    <w:rsid w:val="4B45320A"/>
    <w:rsid w:val="4C9C5F26"/>
    <w:rsid w:val="503C5D86"/>
    <w:rsid w:val="50C93342"/>
    <w:rsid w:val="50E62F72"/>
    <w:rsid w:val="525627ED"/>
    <w:rsid w:val="544A7C24"/>
    <w:rsid w:val="55DC5F01"/>
    <w:rsid w:val="57E57841"/>
    <w:rsid w:val="580D0426"/>
    <w:rsid w:val="5A1E0365"/>
    <w:rsid w:val="5C090C33"/>
    <w:rsid w:val="5C6F3D71"/>
    <w:rsid w:val="5CBE0627"/>
    <w:rsid w:val="5D787C8F"/>
    <w:rsid w:val="63D50012"/>
    <w:rsid w:val="66950E79"/>
    <w:rsid w:val="66F67C7C"/>
    <w:rsid w:val="67EE184F"/>
    <w:rsid w:val="694C06B7"/>
    <w:rsid w:val="69F011D7"/>
    <w:rsid w:val="6B360BC8"/>
    <w:rsid w:val="6C330AB9"/>
    <w:rsid w:val="6CDA7E53"/>
    <w:rsid w:val="6D742606"/>
    <w:rsid w:val="6DC17E3E"/>
    <w:rsid w:val="6E072585"/>
    <w:rsid w:val="6FA252EE"/>
    <w:rsid w:val="731444B6"/>
    <w:rsid w:val="737E2951"/>
    <w:rsid w:val="73FE43A7"/>
    <w:rsid w:val="76BD4B07"/>
    <w:rsid w:val="77414E7F"/>
    <w:rsid w:val="7B8A5ADD"/>
    <w:rsid w:val="7BBA4495"/>
    <w:rsid w:val="7D1A5303"/>
    <w:rsid w:val="7E577C1F"/>
    <w:rsid w:val="7FAE4B8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9" w:semiHidden="0"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0"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iPriority="99" w:semiHidden="0"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link w:val="25"/>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6"/>
    <w:qFormat/>
    <w:uiPriority w:val="0"/>
    <w:pPr>
      <w:keepNext/>
      <w:keepLines/>
      <w:spacing w:before="260" w:after="260" w:line="415" w:lineRule="auto"/>
      <w:outlineLvl w:val="1"/>
    </w:pPr>
    <w:rPr>
      <w:rFonts w:ascii="Arial" w:hAnsi="Arial" w:eastAsia="黑体"/>
      <w:b/>
      <w:bCs/>
      <w:kern w:val="0"/>
      <w:sz w:val="32"/>
      <w:szCs w:val="32"/>
    </w:rPr>
  </w:style>
  <w:style w:type="paragraph" w:styleId="5">
    <w:name w:val="heading 3"/>
    <w:basedOn w:val="1"/>
    <w:next w:val="1"/>
    <w:link w:val="27"/>
    <w:qFormat/>
    <w:uiPriority w:val="9"/>
    <w:pPr>
      <w:keepNext/>
      <w:keepLines/>
      <w:spacing w:before="260" w:after="260" w:line="416" w:lineRule="auto"/>
      <w:outlineLvl w:val="2"/>
    </w:pPr>
    <w:rPr>
      <w:b/>
      <w:bCs/>
      <w:kern w:val="0"/>
      <w:sz w:val="32"/>
      <w:szCs w:val="32"/>
    </w:rPr>
  </w:style>
  <w:style w:type="paragraph" w:styleId="6">
    <w:name w:val="heading 4"/>
    <w:basedOn w:val="1"/>
    <w:next w:val="1"/>
    <w:link w:val="28"/>
    <w:qFormat/>
    <w:uiPriority w:val="9"/>
    <w:pPr>
      <w:keepNext/>
      <w:keepLines/>
      <w:spacing w:before="280" w:after="290" w:line="376" w:lineRule="auto"/>
      <w:outlineLvl w:val="3"/>
    </w:pPr>
    <w:rPr>
      <w:rFonts w:ascii="Cambria" w:hAnsi="Cambria"/>
      <w:b/>
      <w:bCs/>
      <w:kern w:val="0"/>
      <w:sz w:val="28"/>
      <w:szCs w:val="28"/>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7">
    <w:name w:val="Normal Indent"/>
    <w:basedOn w:val="1"/>
    <w:link w:val="51"/>
    <w:qFormat/>
    <w:uiPriority w:val="0"/>
    <w:pPr>
      <w:ind w:firstLine="200" w:firstLineChars="200"/>
    </w:pPr>
    <w:rPr>
      <w:rFonts w:ascii="Times New Roman" w:hAnsi="Times New Roman"/>
      <w:szCs w:val="24"/>
    </w:rPr>
  </w:style>
  <w:style w:type="paragraph" w:styleId="8">
    <w:name w:val="annotation text"/>
    <w:basedOn w:val="1"/>
    <w:link w:val="48"/>
    <w:unhideWhenUsed/>
    <w:qFormat/>
    <w:uiPriority w:val="0"/>
    <w:pPr>
      <w:jc w:val="left"/>
    </w:pPr>
  </w:style>
  <w:style w:type="paragraph" w:styleId="9">
    <w:name w:val="Body Text Indent"/>
    <w:basedOn w:val="1"/>
    <w:link w:val="32"/>
    <w:qFormat/>
    <w:uiPriority w:val="0"/>
    <w:pPr>
      <w:ind w:firstLine="630"/>
    </w:pPr>
    <w:rPr>
      <w:rFonts w:ascii="宋体" w:hAnsi="Times New Roman"/>
      <w:kern w:val="0"/>
      <w:sz w:val="32"/>
      <w:szCs w:val="20"/>
    </w:rPr>
  </w:style>
  <w:style w:type="paragraph" w:styleId="10">
    <w:name w:val="toc 3"/>
    <w:basedOn w:val="1"/>
    <w:next w:val="1"/>
    <w:unhideWhenUsed/>
    <w:qFormat/>
    <w:uiPriority w:val="39"/>
    <w:pPr>
      <w:tabs>
        <w:tab w:val="right" w:leader="dot" w:pos="8296"/>
      </w:tabs>
      <w:ind w:left="840" w:leftChars="400"/>
    </w:pPr>
  </w:style>
  <w:style w:type="paragraph" w:styleId="11">
    <w:name w:val="Body Text Indent 2"/>
    <w:basedOn w:val="1"/>
    <w:link w:val="37"/>
    <w:unhideWhenUsed/>
    <w:qFormat/>
    <w:uiPriority w:val="99"/>
    <w:pPr>
      <w:spacing w:after="120" w:line="480" w:lineRule="auto"/>
      <w:ind w:left="420" w:leftChars="200"/>
    </w:pPr>
  </w:style>
  <w:style w:type="paragraph" w:styleId="12">
    <w:name w:val="Balloon Text"/>
    <w:basedOn w:val="1"/>
    <w:link w:val="31"/>
    <w:unhideWhenUsed/>
    <w:qFormat/>
    <w:uiPriority w:val="99"/>
    <w:rPr>
      <w:kern w:val="0"/>
      <w:sz w:val="18"/>
      <w:szCs w:val="18"/>
    </w:rPr>
  </w:style>
  <w:style w:type="paragraph" w:styleId="13">
    <w:name w:val="footer"/>
    <w:basedOn w:val="1"/>
    <w:link w:val="30"/>
    <w:unhideWhenUsed/>
    <w:qFormat/>
    <w:uiPriority w:val="99"/>
    <w:pPr>
      <w:tabs>
        <w:tab w:val="center" w:pos="4153"/>
        <w:tab w:val="right" w:pos="8306"/>
      </w:tabs>
      <w:snapToGrid w:val="0"/>
      <w:jc w:val="left"/>
    </w:pPr>
    <w:rPr>
      <w:kern w:val="0"/>
      <w:sz w:val="18"/>
      <w:szCs w:val="18"/>
    </w:rPr>
  </w:style>
  <w:style w:type="paragraph" w:styleId="14">
    <w:name w:val="header"/>
    <w:basedOn w:val="1"/>
    <w:link w:val="29"/>
    <w:unhideWhenUsed/>
    <w:qFormat/>
    <w:uiPriority w:val="0"/>
    <w:pPr>
      <w:pBdr>
        <w:bottom w:val="single" w:color="auto" w:sz="6" w:space="1"/>
      </w:pBdr>
      <w:tabs>
        <w:tab w:val="center" w:pos="4153"/>
        <w:tab w:val="right" w:pos="8306"/>
      </w:tabs>
      <w:snapToGrid w:val="0"/>
      <w:jc w:val="center"/>
    </w:pPr>
    <w:rPr>
      <w:kern w:val="0"/>
      <w:sz w:val="18"/>
      <w:szCs w:val="18"/>
    </w:rPr>
  </w:style>
  <w:style w:type="paragraph" w:styleId="15">
    <w:name w:val="toc 1"/>
    <w:basedOn w:val="1"/>
    <w:next w:val="1"/>
    <w:unhideWhenUsed/>
    <w:qFormat/>
    <w:uiPriority w:val="39"/>
  </w:style>
  <w:style w:type="paragraph" w:styleId="16">
    <w:name w:val="toc 2"/>
    <w:basedOn w:val="1"/>
    <w:next w:val="1"/>
    <w:unhideWhenUsed/>
    <w:qFormat/>
    <w:uiPriority w:val="39"/>
    <w:pPr>
      <w:ind w:left="420" w:leftChars="200"/>
    </w:pPr>
  </w:style>
  <w:style w:type="paragraph" w:styleId="17">
    <w:name w:val="Normal (Web)"/>
    <w:basedOn w:val="1"/>
    <w:unhideWhenUsed/>
    <w:qFormat/>
    <w:uiPriority w:val="99"/>
    <w:pPr>
      <w:widowControl/>
      <w:jc w:val="left"/>
    </w:pPr>
    <w:rPr>
      <w:rFonts w:ascii="宋体" w:hAnsi="宋体" w:cs="宋体"/>
      <w:kern w:val="0"/>
      <w:sz w:val="24"/>
      <w:szCs w:val="24"/>
    </w:rPr>
  </w:style>
  <w:style w:type="paragraph" w:styleId="18">
    <w:name w:val="annotation subject"/>
    <w:basedOn w:val="8"/>
    <w:next w:val="8"/>
    <w:link w:val="49"/>
    <w:unhideWhenUsed/>
    <w:qFormat/>
    <w:uiPriority w:val="99"/>
    <w:rPr>
      <w:b/>
      <w:bCs/>
    </w:rPr>
  </w:style>
  <w:style w:type="table" w:styleId="20">
    <w:name w:val="Table Grid"/>
    <w:basedOn w:val="19"/>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22">
    <w:name w:val="page number"/>
    <w:basedOn w:val="21"/>
    <w:qFormat/>
    <w:uiPriority w:val="0"/>
  </w:style>
  <w:style w:type="character" w:styleId="23">
    <w:name w:val="Hyperlink"/>
    <w:qFormat/>
    <w:uiPriority w:val="99"/>
    <w:rPr>
      <w:color w:val="333333"/>
      <w:u w:val="none"/>
    </w:rPr>
  </w:style>
  <w:style w:type="character" w:styleId="24">
    <w:name w:val="annotation reference"/>
    <w:unhideWhenUsed/>
    <w:qFormat/>
    <w:uiPriority w:val="0"/>
    <w:rPr>
      <w:sz w:val="21"/>
      <w:szCs w:val="21"/>
    </w:rPr>
  </w:style>
  <w:style w:type="character" w:customStyle="1" w:styleId="25">
    <w:name w:val="标题 1 Char"/>
    <w:basedOn w:val="21"/>
    <w:link w:val="3"/>
    <w:qFormat/>
    <w:uiPriority w:val="9"/>
    <w:rPr>
      <w:rFonts w:ascii="Calibri" w:hAnsi="Calibri" w:eastAsia="宋体" w:cs="Times New Roman"/>
      <w:b/>
      <w:bCs/>
      <w:kern w:val="44"/>
      <w:sz w:val="44"/>
      <w:szCs w:val="44"/>
    </w:rPr>
  </w:style>
  <w:style w:type="character" w:customStyle="1" w:styleId="26">
    <w:name w:val="标题 2 Char"/>
    <w:basedOn w:val="21"/>
    <w:link w:val="4"/>
    <w:qFormat/>
    <w:uiPriority w:val="0"/>
    <w:rPr>
      <w:rFonts w:ascii="Arial" w:hAnsi="Arial" w:eastAsia="黑体" w:cs="Times New Roman"/>
      <w:b/>
      <w:bCs/>
      <w:kern w:val="0"/>
      <w:sz w:val="32"/>
      <w:szCs w:val="32"/>
    </w:rPr>
  </w:style>
  <w:style w:type="character" w:customStyle="1" w:styleId="27">
    <w:name w:val="标题 3 Char"/>
    <w:basedOn w:val="21"/>
    <w:link w:val="5"/>
    <w:qFormat/>
    <w:uiPriority w:val="9"/>
    <w:rPr>
      <w:rFonts w:ascii="Calibri" w:hAnsi="Calibri" w:eastAsia="宋体" w:cs="Times New Roman"/>
      <w:b/>
      <w:bCs/>
      <w:kern w:val="0"/>
      <w:sz w:val="32"/>
      <w:szCs w:val="32"/>
    </w:rPr>
  </w:style>
  <w:style w:type="character" w:customStyle="1" w:styleId="28">
    <w:name w:val="标题 4 Char"/>
    <w:basedOn w:val="21"/>
    <w:link w:val="6"/>
    <w:qFormat/>
    <w:uiPriority w:val="9"/>
    <w:rPr>
      <w:rFonts w:ascii="Cambria" w:hAnsi="Cambria" w:eastAsia="宋体" w:cs="Times New Roman"/>
      <w:b/>
      <w:bCs/>
      <w:kern w:val="0"/>
      <w:sz w:val="28"/>
      <w:szCs w:val="28"/>
    </w:rPr>
  </w:style>
  <w:style w:type="character" w:customStyle="1" w:styleId="29">
    <w:name w:val="页眉 Char"/>
    <w:basedOn w:val="21"/>
    <w:link w:val="14"/>
    <w:qFormat/>
    <w:uiPriority w:val="0"/>
    <w:rPr>
      <w:rFonts w:ascii="Calibri" w:hAnsi="Calibri" w:eastAsia="宋体" w:cs="Times New Roman"/>
      <w:kern w:val="0"/>
      <w:sz w:val="18"/>
      <w:szCs w:val="18"/>
    </w:rPr>
  </w:style>
  <w:style w:type="character" w:customStyle="1" w:styleId="30">
    <w:name w:val="页脚 Char"/>
    <w:basedOn w:val="21"/>
    <w:link w:val="13"/>
    <w:qFormat/>
    <w:uiPriority w:val="99"/>
    <w:rPr>
      <w:rFonts w:ascii="Calibri" w:hAnsi="Calibri" w:eastAsia="宋体" w:cs="Times New Roman"/>
      <w:kern w:val="0"/>
      <w:sz w:val="18"/>
      <w:szCs w:val="18"/>
    </w:rPr>
  </w:style>
  <w:style w:type="character" w:customStyle="1" w:styleId="31">
    <w:name w:val="批注框文本 Char"/>
    <w:basedOn w:val="21"/>
    <w:link w:val="12"/>
    <w:semiHidden/>
    <w:qFormat/>
    <w:uiPriority w:val="99"/>
    <w:rPr>
      <w:rFonts w:ascii="Calibri" w:hAnsi="Calibri" w:eastAsia="宋体" w:cs="Times New Roman"/>
      <w:kern w:val="0"/>
      <w:sz w:val="18"/>
      <w:szCs w:val="18"/>
    </w:rPr>
  </w:style>
  <w:style w:type="character" w:customStyle="1" w:styleId="32">
    <w:name w:val="正文文本缩进 Char"/>
    <w:basedOn w:val="21"/>
    <w:link w:val="9"/>
    <w:qFormat/>
    <w:uiPriority w:val="0"/>
    <w:rPr>
      <w:rFonts w:ascii="宋体" w:hAnsi="Times New Roman" w:eastAsia="宋体" w:cs="Times New Roman"/>
      <w:kern w:val="0"/>
      <w:sz w:val="32"/>
      <w:szCs w:val="20"/>
    </w:rPr>
  </w:style>
  <w:style w:type="paragraph" w:customStyle="1" w:styleId="33">
    <w:name w:val="正文首行缩进两字符"/>
    <w:basedOn w:val="1"/>
    <w:qFormat/>
    <w:uiPriority w:val="0"/>
    <w:pPr>
      <w:spacing w:line="360" w:lineRule="auto"/>
      <w:ind w:firstLine="200" w:firstLineChars="200"/>
    </w:pPr>
    <w:rPr>
      <w:rFonts w:ascii="宋体" w:hAnsi="Times New Roman"/>
      <w:kern w:val="0"/>
      <w:sz w:val="34"/>
      <w:szCs w:val="20"/>
    </w:rPr>
  </w:style>
  <w:style w:type="paragraph" w:customStyle="1" w:styleId="34">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35">
    <w:name w:val="正文1"/>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36">
    <w:name w:val="列出段落1"/>
    <w:basedOn w:val="1"/>
    <w:qFormat/>
    <w:uiPriority w:val="34"/>
    <w:pPr>
      <w:ind w:firstLine="420" w:firstLineChars="200"/>
    </w:pPr>
  </w:style>
  <w:style w:type="character" w:customStyle="1" w:styleId="37">
    <w:name w:val="正文文本缩进 2 Char"/>
    <w:basedOn w:val="21"/>
    <w:link w:val="11"/>
    <w:qFormat/>
    <w:uiPriority w:val="99"/>
    <w:rPr>
      <w:rFonts w:ascii="Calibri" w:hAnsi="Calibri" w:eastAsia="宋体" w:cs="Times New Roman"/>
    </w:rPr>
  </w:style>
  <w:style w:type="paragraph" w:customStyle="1" w:styleId="38">
    <w:name w:val="表格"/>
    <w:basedOn w:val="1"/>
    <w:qFormat/>
    <w:uiPriority w:val="0"/>
    <w:pPr>
      <w:spacing w:line="400" w:lineRule="exact"/>
    </w:pPr>
    <w:rPr>
      <w:rFonts w:ascii="宋体" w:hAnsi="Times New Roman"/>
      <w:kern w:val="0"/>
      <w:sz w:val="24"/>
      <w:szCs w:val="20"/>
    </w:rPr>
  </w:style>
  <w:style w:type="paragraph" w:customStyle="1" w:styleId="39">
    <w:name w:val="样式 首行缩进:  2 字符"/>
    <w:basedOn w:val="1"/>
    <w:qFormat/>
    <w:uiPriority w:val="0"/>
    <w:pPr>
      <w:spacing w:line="400" w:lineRule="exact"/>
      <w:ind w:firstLine="200" w:firstLineChars="200"/>
    </w:pPr>
    <w:rPr>
      <w:rFonts w:ascii="宋体" w:hAnsi="Times New Roman" w:cs="宋体"/>
      <w:kern w:val="0"/>
      <w:sz w:val="24"/>
      <w:szCs w:val="20"/>
    </w:rPr>
  </w:style>
  <w:style w:type="paragraph" w:customStyle="1" w:styleId="40">
    <w:name w:val="TOC 标题1"/>
    <w:basedOn w:val="3"/>
    <w:next w:val="1"/>
    <w:qFormat/>
    <w:uiPriority w:val="39"/>
    <w:pPr>
      <w:widowControl/>
      <w:spacing w:before="480" w:after="0" w:line="276" w:lineRule="auto"/>
      <w:jc w:val="left"/>
      <w:outlineLvl w:val="9"/>
    </w:pPr>
    <w:rPr>
      <w:rFonts w:ascii="Cambria" w:hAnsi="Cambria"/>
      <w:color w:val="365F91"/>
      <w:kern w:val="0"/>
      <w:sz w:val="28"/>
      <w:szCs w:val="28"/>
    </w:rPr>
  </w:style>
  <w:style w:type="paragraph" w:customStyle="1" w:styleId="41">
    <w:name w:val="无间隔1"/>
    <w:qFormat/>
    <w:uiPriority w:val="1"/>
    <w:pPr>
      <w:widowControl w:val="0"/>
      <w:jc w:val="both"/>
    </w:pPr>
    <w:rPr>
      <w:rFonts w:ascii="Calibri" w:hAnsi="Calibri" w:eastAsia="宋体" w:cs="Times New Roman"/>
      <w:kern w:val="2"/>
      <w:sz w:val="21"/>
      <w:szCs w:val="22"/>
      <w:lang w:val="en-US" w:eastAsia="zh-CN" w:bidi="ar-SA"/>
    </w:rPr>
  </w:style>
  <w:style w:type="paragraph" w:customStyle="1" w:styleId="42">
    <w:name w:val="正文2"/>
    <w:qFormat/>
    <w:uiPriority w:val="0"/>
    <w:rPr>
      <w:rFonts w:ascii="Times New Roman" w:hAnsi="Times New Roman" w:eastAsia="Times New Roman" w:cs="Times New Roman"/>
      <w:sz w:val="24"/>
      <w:szCs w:val="24"/>
      <w:lang w:val="en-US" w:eastAsia="zh-CN" w:bidi="ar-SA"/>
    </w:rPr>
  </w:style>
  <w:style w:type="paragraph" w:customStyle="1" w:styleId="43">
    <w:name w:val="MsoNormal"/>
    <w:basedOn w:val="42"/>
    <w:qFormat/>
    <w:uiPriority w:val="0"/>
    <w:rPr>
      <w:rFonts w:ascii="Calibri" w:hAnsi="Calibri" w:eastAsia="Calibri"/>
      <w:sz w:val="21"/>
    </w:rPr>
  </w:style>
  <w:style w:type="paragraph" w:customStyle="1" w:styleId="44">
    <w:name w:val="正文_0"/>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45">
    <w:name w:val="正文_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6">
    <w:name w:val="样式 首行缩进:  2 字符_0"/>
    <w:basedOn w:val="45"/>
    <w:qFormat/>
    <w:uiPriority w:val="0"/>
    <w:pPr>
      <w:spacing w:line="400" w:lineRule="exact"/>
      <w:ind w:firstLine="200" w:firstLineChars="200"/>
    </w:pPr>
    <w:rPr>
      <w:rFonts w:ascii="宋体" w:cs="宋体"/>
      <w:kern w:val="0"/>
      <w:sz w:val="24"/>
      <w:szCs w:val="20"/>
    </w:rPr>
  </w:style>
  <w:style w:type="paragraph" w:customStyle="1" w:styleId="47">
    <w:name w:val="正文缩进_0"/>
    <w:basedOn w:val="45"/>
    <w:unhideWhenUsed/>
    <w:qFormat/>
    <w:uiPriority w:val="0"/>
    <w:pPr>
      <w:adjustRightInd w:val="0"/>
      <w:spacing w:line="360" w:lineRule="atLeast"/>
      <w:ind w:firstLine="482"/>
    </w:pPr>
    <w:rPr>
      <w:rFonts w:ascii="Calibri" w:hAnsi="Calibri"/>
      <w:kern w:val="0"/>
      <w:sz w:val="24"/>
      <w:szCs w:val="20"/>
    </w:rPr>
  </w:style>
  <w:style w:type="character" w:customStyle="1" w:styleId="48">
    <w:name w:val="批注文字 Char"/>
    <w:basedOn w:val="21"/>
    <w:link w:val="8"/>
    <w:qFormat/>
    <w:uiPriority w:val="0"/>
    <w:rPr>
      <w:rFonts w:ascii="Calibri" w:hAnsi="Calibri" w:eastAsia="宋体" w:cs="Times New Roman"/>
    </w:rPr>
  </w:style>
  <w:style w:type="character" w:customStyle="1" w:styleId="49">
    <w:name w:val="批注主题 Char"/>
    <w:basedOn w:val="48"/>
    <w:link w:val="18"/>
    <w:semiHidden/>
    <w:qFormat/>
    <w:uiPriority w:val="99"/>
    <w:rPr>
      <w:rFonts w:ascii="Calibri" w:hAnsi="Calibri" w:eastAsia="宋体" w:cs="Times New Roman"/>
      <w:b/>
      <w:bCs/>
    </w:rPr>
  </w:style>
  <w:style w:type="paragraph" w:customStyle="1" w:styleId="50">
    <w:name w:val="_Style 1"/>
    <w:basedOn w:val="1"/>
    <w:qFormat/>
    <w:uiPriority w:val="0"/>
    <w:pPr>
      <w:ind w:firstLine="420" w:firstLineChars="200"/>
    </w:pPr>
    <w:rPr>
      <w:rFonts w:ascii="宋体" w:hAnsi="Times New Roman"/>
      <w:kern w:val="0"/>
      <w:sz w:val="18"/>
      <w:szCs w:val="18"/>
    </w:rPr>
  </w:style>
  <w:style w:type="character" w:customStyle="1" w:styleId="51">
    <w:name w:val="正文缩进 Char"/>
    <w:link w:val="7"/>
    <w:qFormat/>
    <w:uiPriority w:val="0"/>
    <w:rPr>
      <w:rFonts w:ascii="Times New Roman" w:hAnsi="Times New Roman" w:eastAsia="宋体" w:cs="Times New Roman"/>
      <w:szCs w:val="24"/>
    </w:rPr>
  </w:style>
  <w:style w:type="paragraph" w:customStyle="1" w:styleId="52">
    <w:name w:val="_Style 13"/>
    <w:basedOn w:val="1"/>
    <w:qFormat/>
    <w:uiPriority w:val="0"/>
    <w:rPr>
      <w:rFonts w:ascii="宋体" w:hAnsi="Times New Roman"/>
      <w:kern w:val="0"/>
      <w:sz w:val="34"/>
      <w:szCs w:val="20"/>
    </w:rPr>
  </w:style>
  <w:style w:type="paragraph" w:customStyle="1" w:styleId="53">
    <w:name w:val="正文_7"/>
    <w:qFormat/>
    <w:uiPriority w:val="0"/>
    <w:pPr>
      <w:widowControl w:val="0"/>
      <w:jc w:val="both"/>
    </w:pPr>
    <w:rPr>
      <w:rFonts w:ascii="宋体" w:hAnsi="Times New Roman" w:eastAsia="宋体" w:cs="Times New Roman"/>
      <w:sz w:val="34"/>
      <w:lang w:val="en-US" w:eastAsia="zh-CN" w:bidi="ar-SA"/>
    </w:rPr>
  </w:style>
  <w:style w:type="paragraph" w:customStyle="1" w:styleId="54">
    <w:name w:val="正文_14"/>
    <w:qFormat/>
    <w:uiPriority w:val="0"/>
    <w:pPr>
      <w:widowControl w:val="0"/>
      <w:jc w:val="both"/>
    </w:pPr>
    <w:rPr>
      <w:rFonts w:ascii="宋体" w:hAnsi="Times New Roman" w:eastAsia="宋体" w:cs="Times New Roman"/>
      <w:sz w:val="34"/>
      <w:lang w:val="en-US" w:eastAsia="zh-CN" w:bidi="ar-SA"/>
    </w:rPr>
  </w:style>
  <w:style w:type="paragraph" w:styleId="55">
    <w:name w:val="List Paragraph"/>
    <w:basedOn w:val="1"/>
    <w:unhideWhenUsed/>
    <w:qFormat/>
    <w:uiPriority w:val="99"/>
    <w:pPr>
      <w:ind w:firstLine="420" w:firstLineChars="200"/>
    </w:pPr>
  </w:style>
  <w:style w:type="paragraph" w:customStyle="1" w:styleId="56">
    <w:name w:val="Default"/>
    <w:next w:val="1"/>
    <w:qFormat/>
    <w:uiPriority w:val="0"/>
    <w:pPr>
      <w:widowControl w:val="0"/>
      <w:autoSpaceDE w:val="0"/>
      <w:autoSpaceDN w:val="0"/>
      <w:adjustRightInd w:val="0"/>
    </w:pPr>
    <w:rPr>
      <w:rFonts w:ascii="宋体" w:hAnsi="宋体" w:eastAsia="宋体" w:cs="宋体"/>
      <w:color w:val="000000"/>
      <w:sz w:val="24"/>
      <w:szCs w:val="24"/>
      <w:lang w:val="en-US" w:eastAsia="zh-CN" w:bidi="ar-SA"/>
    </w:rPr>
  </w:style>
  <w:style w:type="paragraph" w:customStyle="1" w:styleId="57">
    <w:name w:val="标题 5（有编号）（绿盟科技）"/>
    <w:basedOn w:val="1"/>
    <w:next w:val="58"/>
    <w:qFormat/>
    <w:uiPriority w:val="0"/>
    <w:pPr>
      <w:keepNext/>
      <w:keepLines/>
      <w:numPr>
        <w:ilvl w:val="4"/>
        <w:numId w:val="1"/>
      </w:numPr>
      <w:spacing w:before="280" w:after="156" w:line="377" w:lineRule="auto"/>
      <w:jc w:val="left"/>
      <w:outlineLvl w:val="4"/>
    </w:pPr>
    <w:rPr>
      <w:rFonts w:ascii="Arial" w:hAnsi="Arial" w:eastAsia="黑体"/>
      <w:kern w:val="0"/>
      <w:sz w:val="24"/>
      <w:szCs w:val="28"/>
    </w:rPr>
  </w:style>
  <w:style w:type="paragraph" w:customStyle="1" w:styleId="58">
    <w:name w:val="正文（绿盟科技）"/>
    <w:qFormat/>
    <w:uiPriority w:val="0"/>
    <w:pPr>
      <w:spacing w:line="300" w:lineRule="auto"/>
    </w:pPr>
    <w:rPr>
      <w:rFonts w:ascii="Arial" w:hAnsi="Arial" w:eastAsia="宋体" w:cs="黑体"/>
      <w:sz w:val="21"/>
      <w:szCs w:val="21"/>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4098"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991F9CF-BDD5-4862-919C-3AB350169833}">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122</Pages>
  <Words>67290</Words>
  <Characters>74589</Characters>
  <Lines>252</Lines>
  <Paragraphs>70</Paragraphs>
  <TotalTime>4</TotalTime>
  <ScaleCrop>false</ScaleCrop>
  <LinksUpToDate>false</LinksUpToDate>
  <CharactersWithSpaces>76643</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2017-12-07T02:18:00Z</dcterms:created>
  <dc:creator>李伟</dc:creator>
  <cp:lastModifiedBy>昏昏</cp:lastModifiedBy>
  <dcterms:modified xsi:type="dcterms:W3CDTF">2021-11-04T08:37:32Z</dcterms:modified>
  <cp:revision>1189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093C5670FC1A452EB9BB958BDC5C8B1A</vt:lpwstr>
  </property>
</Properties>
</file>